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B82F3" w14:textId="77777777" w:rsidR="00001447" w:rsidRPr="00001447" w:rsidRDefault="00001447" w:rsidP="00001447">
      <w:pPr>
        <w:shd w:val="clear" w:color="auto" w:fill="FFFFFF"/>
        <w:spacing w:after="0" w:line="315" w:lineRule="atLeast"/>
        <w:jc w:val="center"/>
        <w:outlineLvl w:val="0"/>
        <w:rPr>
          <w:rFonts w:eastAsia="Times New Roman" w:cstheme="minorHAnsi"/>
          <w:b/>
          <w:bCs/>
          <w:kern w:val="36"/>
          <w:lang w:eastAsia="it-IT"/>
        </w:rPr>
      </w:pPr>
      <w:r w:rsidRPr="00001447">
        <w:rPr>
          <w:rFonts w:eastAsia="Times New Roman" w:cstheme="minorHAnsi"/>
          <w:b/>
          <w:bCs/>
          <w:kern w:val="36"/>
          <w:lang w:eastAsia="it-IT"/>
        </w:rPr>
        <w:t>Articolo 569 Codice di procedura civile</w:t>
      </w:r>
    </w:p>
    <w:p w14:paraId="4A2D922C" w14:textId="77777777" w:rsidR="00001447" w:rsidRPr="00001447" w:rsidRDefault="00001447" w:rsidP="00001447">
      <w:pPr>
        <w:shd w:val="clear" w:color="auto" w:fill="FFFFFF"/>
        <w:spacing w:line="390" w:lineRule="atLeast"/>
        <w:jc w:val="center"/>
        <w:outlineLvl w:val="2"/>
        <w:rPr>
          <w:rFonts w:eastAsia="Times New Roman" w:cstheme="minorHAnsi"/>
          <w:b/>
          <w:bCs/>
          <w:lang w:eastAsia="it-IT"/>
        </w:rPr>
      </w:pPr>
      <w:r w:rsidRPr="00001447">
        <w:rPr>
          <w:rFonts w:eastAsia="Times New Roman" w:cstheme="minorHAnsi"/>
          <w:b/>
          <w:bCs/>
          <w:lang w:eastAsia="it-IT"/>
        </w:rPr>
        <w:t>Provvedimento per l'autorizzazione della vendita</w:t>
      </w:r>
    </w:p>
    <w:p w14:paraId="27673674" w14:textId="7F497CF3" w:rsidR="00001447" w:rsidRPr="00001447" w:rsidRDefault="00001447" w:rsidP="00001447">
      <w:pPr>
        <w:spacing w:after="0" w:line="420" w:lineRule="atLeast"/>
        <w:jc w:val="both"/>
        <w:rPr>
          <w:rFonts w:eastAsia="Times New Roman" w:cstheme="minorHAnsi"/>
          <w:lang w:eastAsia="it-IT"/>
        </w:rPr>
      </w:pPr>
      <w:bookmarkStart w:id="0" w:name="dispositivo"/>
      <w:bookmarkEnd w:id="0"/>
      <w:r w:rsidRPr="00001447">
        <w:rPr>
          <w:rFonts w:eastAsia="Times New Roman" w:cstheme="minorHAnsi"/>
          <w:lang w:eastAsia="it-IT"/>
        </w:rPr>
        <w:t>A seguito dell'istanza di cui all'articolo </w:t>
      </w:r>
      <w:hyperlink r:id="rId5" w:tooltip="Istanza di vendita" w:history="1">
        <w:r w:rsidRPr="00001447">
          <w:rPr>
            <w:rFonts w:eastAsia="Times New Roman" w:cstheme="minorHAnsi"/>
            <w:u w:val="single"/>
            <w:lang w:eastAsia="it-IT"/>
          </w:rPr>
          <w:t>567</w:t>
        </w:r>
      </w:hyperlink>
      <w:r w:rsidRPr="00001447">
        <w:rPr>
          <w:rFonts w:eastAsia="Times New Roman" w:cstheme="minorHAnsi"/>
          <w:lang w:eastAsia="it-IT"/>
        </w:rPr>
        <w:t> il </w:t>
      </w:r>
      <w:hyperlink r:id="rId6" w:tooltip="Dizionario Giuridico: Giudice dell'esecuzione" w:history="1">
        <w:r w:rsidRPr="00001447">
          <w:rPr>
            <w:rFonts w:eastAsia="Times New Roman" w:cstheme="minorHAnsi"/>
            <w:u w:val="single"/>
            <w:lang w:eastAsia="it-IT"/>
          </w:rPr>
          <w:t>giudice dell'esecuzione</w:t>
        </w:r>
      </w:hyperlink>
      <w:r w:rsidRPr="00001447">
        <w:rPr>
          <w:rFonts w:eastAsia="Times New Roman" w:cstheme="minorHAnsi"/>
          <w:lang w:eastAsia="it-IT"/>
        </w:rPr>
        <w:t>, entro quindici giorni dal deposito della documentazione di cui al secondo comma dell' articolo </w:t>
      </w:r>
      <w:hyperlink r:id="rId7" w:tooltip="Successione dei figli" w:history="1">
        <w:r w:rsidRPr="00001447">
          <w:rPr>
            <w:rFonts w:eastAsia="Times New Roman" w:cstheme="minorHAnsi"/>
            <w:u w:val="single"/>
            <w:lang w:eastAsia="it-IT"/>
          </w:rPr>
          <w:t>567</w:t>
        </w:r>
      </w:hyperlink>
      <w:r w:rsidRPr="00001447">
        <w:rPr>
          <w:rFonts w:eastAsia="Times New Roman" w:cstheme="minorHAnsi"/>
          <w:lang w:eastAsia="it-IT"/>
        </w:rPr>
        <w:t>, nomina l'esperto che presta giuramento in cancelleria mediante sottoscrizione del verbale di accettazione e fissa l'udienza</w:t>
      </w:r>
      <w:r>
        <w:rPr>
          <w:rFonts w:eastAsia="Times New Roman" w:cstheme="minorHAnsi"/>
          <w:lang w:eastAsia="it-IT"/>
        </w:rPr>
        <w:t xml:space="preserve"> </w:t>
      </w:r>
      <w:r w:rsidRPr="00001447">
        <w:rPr>
          <w:rFonts w:eastAsia="Times New Roman" w:cstheme="minorHAnsi"/>
          <w:lang w:eastAsia="it-IT"/>
        </w:rPr>
        <w:t>per la comparizione delle parti e dei creditori di cui all'articolo </w:t>
      </w:r>
      <w:hyperlink r:id="rId8" w:tooltip="Avviso ai creditori iscritti" w:history="1">
        <w:r w:rsidRPr="00001447">
          <w:rPr>
            <w:rFonts w:eastAsia="Times New Roman" w:cstheme="minorHAnsi"/>
            <w:u w:val="single"/>
            <w:lang w:eastAsia="it-IT"/>
          </w:rPr>
          <w:t>498</w:t>
        </w:r>
      </w:hyperlink>
      <w:r w:rsidRPr="00001447">
        <w:rPr>
          <w:rFonts w:eastAsia="Times New Roman" w:cstheme="minorHAnsi"/>
          <w:lang w:eastAsia="it-IT"/>
        </w:rPr>
        <w:t> che non siano intervenuti [disp. att. 175]. Tra la data del provvedimento e la data fissata per l'udienza non possono decorrere più di novanta giorni. Salvo quanto disposto dagli articoli </w:t>
      </w:r>
      <w:hyperlink r:id="rId9" w:tooltip="Intervento tardivo" w:history="1">
        <w:r w:rsidRPr="00001447">
          <w:rPr>
            <w:rFonts w:eastAsia="Times New Roman" w:cstheme="minorHAnsi"/>
            <w:u w:val="single"/>
            <w:lang w:eastAsia="it-IT"/>
          </w:rPr>
          <w:t>565</w:t>
        </w:r>
      </w:hyperlink>
      <w:r w:rsidRPr="00001447">
        <w:rPr>
          <w:rFonts w:eastAsia="Times New Roman" w:cstheme="minorHAnsi"/>
          <w:lang w:eastAsia="it-IT"/>
        </w:rPr>
        <w:t> e </w:t>
      </w:r>
      <w:hyperlink r:id="rId10" w:tooltip="Intervento dei creditori iscritti e privilegiati" w:history="1">
        <w:r w:rsidRPr="00001447">
          <w:rPr>
            <w:rFonts w:eastAsia="Times New Roman" w:cstheme="minorHAnsi"/>
            <w:u w:val="single"/>
            <w:lang w:eastAsia="it-IT"/>
          </w:rPr>
          <w:t>566</w:t>
        </w:r>
      </w:hyperlink>
      <w:r w:rsidRPr="00001447">
        <w:rPr>
          <w:rFonts w:eastAsia="Times New Roman" w:cstheme="minorHAnsi"/>
          <w:lang w:eastAsia="it-IT"/>
        </w:rPr>
        <w:t>, non oltre trenta giorni prima dell'udienza, il creditore pignorante e i creditori già intervenuti ai sensi dell'articolo </w:t>
      </w:r>
      <w:hyperlink r:id="rId11" w:tooltip="Intervento" w:history="1">
        <w:r w:rsidRPr="00001447">
          <w:rPr>
            <w:rFonts w:eastAsia="Times New Roman" w:cstheme="minorHAnsi"/>
            <w:u w:val="single"/>
            <w:lang w:eastAsia="it-IT"/>
          </w:rPr>
          <w:t>499</w:t>
        </w:r>
      </w:hyperlink>
      <w:r w:rsidRPr="00001447">
        <w:rPr>
          <w:rFonts w:eastAsia="Times New Roman" w:cstheme="minorHAnsi"/>
          <w:lang w:eastAsia="it-IT"/>
        </w:rPr>
        <w:t> depositano un atto, sottoscritto personalmente dal creditore e previamente notificato al debitore esecutato, nel quale è indicato l'ammontare del residuo credito per cui si procede, comprensivo degli interessi maturati, del criterio di calcolo di quelli in corso di maturazione e delle spese sostenute fino all'udienza. In difetto, agli effetti della liquidazione della somma di cui al primo comma dell'articolo </w:t>
      </w:r>
      <w:hyperlink r:id="rId12" w:tooltip="Conversione del pignoramento" w:history="1">
        <w:r w:rsidRPr="00001447">
          <w:rPr>
            <w:rFonts w:eastAsia="Times New Roman" w:cstheme="minorHAnsi"/>
            <w:u w:val="single"/>
            <w:lang w:eastAsia="it-IT"/>
          </w:rPr>
          <w:t>495</w:t>
        </w:r>
      </w:hyperlink>
      <w:r w:rsidRPr="00001447">
        <w:rPr>
          <w:rFonts w:eastAsia="Times New Roman" w:cstheme="minorHAnsi"/>
          <w:lang w:eastAsia="it-IT"/>
        </w:rPr>
        <w:t>, il credito resta definitivamente fissato nell'importo indicato nell'atto di precetto o di intervento, maggiorato dei soli interessi al tasso legale e delle spese successive.</w:t>
      </w:r>
    </w:p>
    <w:p w14:paraId="3DA0C7FF" w14:textId="414B8325" w:rsidR="00001447" w:rsidRPr="00001447" w:rsidRDefault="00001447" w:rsidP="00001447">
      <w:pPr>
        <w:spacing w:before="140" w:after="0" w:line="420" w:lineRule="atLeast"/>
        <w:jc w:val="both"/>
        <w:rPr>
          <w:rFonts w:eastAsia="Times New Roman" w:cstheme="minorHAnsi"/>
          <w:lang w:eastAsia="it-IT"/>
        </w:rPr>
      </w:pPr>
      <w:r w:rsidRPr="00001447">
        <w:rPr>
          <w:rFonts w:eastAsia="Times New Roman" w:cstheme="minorHAnsi"/>
          <w:lang w:eastAsia="it-IT"/>
        </w:rPr>
        <w:t>All'udienza le parti possono fare osservazioni circa il tempo e le modalità della vendita</w:t>
      </w:r>
      <w:hyperlink r:id="rId13" w:anchor="nota_8909" w:history="1"/>
      <w:r w:rsidRPr="00001447">
        <w:rPr>
          <w:rFonts w:eastAsia="Times New Roman" w:cstheme="minorHAnsi"/>
          <w:lang w:eastAsia="it-IT"/>
        </w:rPr>
        <w:t>, e debbono proporre, a pena di decadenza, le </w:t>
      </w:r>
      <w:hyperlink r:id="rId14" w:tooltip="Dizionario Giuridico: Opposizione all'esecuzione forzata" w:history="1">
        <w:r w:rsidRPr="00001447">
          <w:rPr>
            <w:rFonts w:eastAsia="Times New Roman" w:cstheme="minorHAnsi"/>
            <w:u w:val="single"/>
            <w:lang w:eastAsia="it-IT"/>
          </w:rPr>
          <w:t>opposizioni agli atti esecutivi</w:t>
        </w:r>
      </w:hyperlink>
      <w:r w:rsidRPr="00001447">
        <w:rPr>
          <w:rFonts w:eastAsia="Times New Roman" w:cstheme="minorHAnsi"/>
          <w:lang w:eastAsia="it-IT"/>
        </w:rPr>
        <w:t>, se non sono già decadute dal diritto di proporle.</w:t>
      </w:r>
    </w:p>
    <w:p w14:paraId="5C2562E4" w14:textId="77777777" w:rsidR="00001447" w:rsidRPr="00001447" w:rsidRDefault="00001447" w:rsidP="00001447">
      <w:pPr>
        <w:spacing w:before="140" w:after="0" w:line="420" w:lineRule="atLeast"/>
        <w:jc w:val="both"/>
        <w:rPr>
          <w:rFonts w:eastAsia="Times New Roman" w:cstheme="minorHAnsi"/>
          <w:lang w:eastAsia="it-IT"/>
        </w:rPr>
      </w:pPr>
      <w:r w:rsidRPr="00001447">
        <w:rPr>
          <w:rFonts w:eastAsia="Times New Roman" w:cstheme="minorHAnsi"/>
          <w:lang w:eastAsia="it-IT"/>
        </w:rPr>
        <w:t>Nel caso in cui il giudice disponga con ordinanza la vendita forzata, fissa un termine non inferiore a novanta giorni, e non superiore a centoventi, entro il quale possono essere proposte offerte d’acquisto ai sensi dell’articolo </w:t>
      </w:r>
      <w:hyperlink r:id="rId15" w:tooltip="Concorso di genitori o ascendenti con fratelli e sorelle" w:history="1">
        <w:r w:rsidRPr="00001447">
          <w:rPr>
            <w:rFonts w:eastAsia="Times New Roman" w:cstheme="minorHAnsi"/>
            <w:u w:val="single"/>
            <w:lang w:eastAsia="it-IT"/>
          </w:rPr>
          <w:t>571</w:t>
        </w:r>
      </w:hyperlink>
      <w:r w:rsidRPr="00001447">
        <w:rPr>
          <w:rFonts w:eastAsia="Times New Roman" w:cstheme="minorHAnsi"/>
          <w:lang w:eastAsia="it-IT"/>
        </w:rPr>
        <w:t>. Il giudice con la medesima ordinanza stabilisce le modalità con cui deve essere prestata la cauzione, se la vendita è fatta in uno o più lotti, il prezzo base determinato a norma dell’articolo </w:t>
      </w:r>
      <w:hyperlink r:id="rId16" w:tooltip="Successione dei genitori" w:history="1">
        <w:r w:rsidRPr="00001447">
          <w:rPr>
            <w:rFonts w:eastAsia="Times New Roman" w:cstheme="minorHAnsi"/>
            <w:u w:val="single"/>
            <w:lang w:eastAsia="it-IT"/>
          </w:rPr>
          <w:t>568</w:t>
        </w:r>
      </w:hyperlink>
      <w:r w:rsidRPr="00001447">
        <w:rPr>
          <w:rFonts w:eastAsia="Times New Roman" w:cstheme="minorHAnsi"/>
          <w:lang w:eastAsia="it-IT"/>
        </w:rPr>
        <w:t>, l’offerta minima, il termine, non superiore a centoventi giorni dall’aggiudicazione, entro il quale il prezzo dev’essere depositato, con le modalità del deposito e fissa, al giorno successivo alla scadenza del termine, l’udienza per la deliberazione sull’offerta e per la gara tra gli offerenti di cui all’articolo </w:t>
      </w:r>
      <w:hyperlink r:id="rId17" w:tooltip="Successione dei figli nati fuori del matrimonio" w:history="1">
        <w:r w:rsidRPr="00001447">
          <w:rPr>
            <w:rFonts w:eastAsia="Times New Roman" w:cstheme="minorHAnsi"/>
            <w:u w:val="single"/>
            <w:lang w:eastAsia="it-IT"/>
          </w:rPr>
          <w:t>573</w:t>
        </w:r>
      </w:hyperlink>
      <w:r w:rsidRPr="00001447">
        <w:rPr>
          <w:rFonts w:eastAsia="Times New Roman" w:cstheme="minorHAnsi"/>
          <w:lang w:eastAsia="it-IT"/>
        </w:rPr>
        <w:t>. Quando ricorrono giustificati motivi, il giudice dell’esecuzione può disporre che il versamento del prezzo abbia luogo ratealmente ed entro un termine non superiore a dodici mesi. Il giudice provvede ai sensi dell’articolo </w:t>
      </w:r>
      <w:hyperlink r:id="rId18" w:tooltip="Successione dei soli figli naturali" w:history="1">
        <w:r w:rsidRPr="00001447">
          <w:rPr>
            <w:rFonts w:eastAsia="Times New Roman" w:cstheme="minorHAnsi"/>
            <w:u w:val="single"/>
            <w:lang w:eastAsia="it-IT"/>
          </w:rPr>
          <w:t>576</w:t>
        </w:r>
      </w:hyperlink>
      <w:r w:rsidRPr="00001447">
        <w:rPr>
          <w:rFonts w:eastAsia="Times New Roman" w:cstheme="minorHAnsi"/>
          <w:lang w:eastAsia="it-IT"/>
        </w:rPr>
        <w:t> solo quando ritiene probabile che la vendita con tale modalità possa aver luogo ad un prezzo superiore della metà rispetto al valore del bene, determinato a norma dell’articolo </w:t>
      </w:r>
      <w:hyperlink r:id="rId19" w:tooltip="Successione dei genitori" w:history="1">
        <w:r w:rsidRPr="00001447">
          <w:rPr>
            <w:rFonts w:eastAsia="Times New Roman" w:cstheme="minorHAnsi"/>
            <w:u w:val="single"/>
            <w:lang w:eastAsia="it-IT"/>
          </w:rPr>
          <w:t>568</w:t>
        </w:r>
      </w:hyperlink>
      <w:r w:rsidRPr="00001447">
        <w:rPr>
          <w:rFonts w:eastAsia="Times New Roman" w:cstheme="minorHAnsi"/>
          <w:lang w:eastAsia="it-IT"/>
        </w:rPr>
        <w:t>.</w:t>
      </w:r>
    </w:p>
    <w:p w14:paraId="214FBC31" w14:textId="29F89646" w:rsidR="00001447" w:rsidRPr="00001447" w:rsidRDefault="00001447" w:rsidP="00001447">
      <w:pPr>
        <w:spacing w:before="140" w:after="0" w:line="420" w:lineRule="atLeast"/>
        <w:jc w:val="both"/>
        <w:rPr>
          <w:rFonts w:eastAsia="Times New Roman" w:cstheme="minorHAnsi"/>
          <w:lang w:eastAsia="it-IT"/>
        </w:rPr>
      </w:pPr>
      <w:r w:rsidRPr="00001447">
        <w:rPr>
          <w:rFonts w:eastAsia="Times New Roman" w:cstheme="minorHAnsi"/>
          <w:lang w:eastAsia="it-IT"/>
        </w:rPr>
        <w:t>Con la stessa ordinanza, il giudice stabilisce, salvo che sia pregiudizievole per gli interessi dei creditori o per il sollecito svolgimento della procedura, che il versamento della cauzione, la presentazione delle offerte, lo svolgimento della gara tra gli offerenti e, nei casi previsti, l'incanto, nonché il pagamento del prezzo, siano effettuati con modalità telematiche, nel rispetto della normativa regolamentare di cui all'articolo 161-ter delle disposizioni per l'attuazione del presente codice</w:t>
      </w:r>
      <w:hyperlink r:id="rId20" w:anchor="nota_18918" w:history="1"/>
      <w:r w:rsidRPr="00001447">
        <w:rPr>
          <w:rFonts w:eastAsia="Times New Roman" w:cstheme="minorHAnsi"/>
          <w:lang w:eastAsia="it-IT"/>
        </w:rPr>
        <w:t>.</w:t>
      </w:r>
    </w:p>
    <w:p w14:paraId="0AF364D8" w14:textId="77777777" w:rsidR="00001447" w:rsidRPr="00001447" w:rsidRDefault="00001447" w:rsidP="00001447">
      <w:pPr>
        <w:spacing w:before="140" w:after="0" w:line="420" w:lineRule="atLeast"/>
        <w:jc w:val="both"/>
        <w:rPr>
          <w:rFonts w:eastAsia="Times New Roman" w:cstheme="minorHAnsi"/>
          <w:lang w:eastAsia="it-IT"/>
        </w:rPr>
      </w:pPr>
      <w:r w:rsidRPr="00001447">
        <w:rPr>
          <w:rFonts w:eastAsia="Times New Roman" w:cstheme="minorHAnsi"/>
          <w:lang w:eastAsia="it-IT"/>
        </w:rPr>
        <w:lastRenderedPageBreak/>
        <w:t>Se vi sono opposizioni il tribunale le decide con sentenza e quindi il giudice dell'esecuzione dispone la vendita con ordinanza.</w:t>
      </w:r>
    </w:p>
    <w:p w14:paraId="3670590F" w14:textId="77777777" w:rsidR="00001447" w:rsidRPr="00001447" w:rsidRDefault="00001447" w:rsidP="00001447">
      <w:pPr>
        <w:spacing w:before="140" w:line="420" w:lineRule="atLeast"/>
        <w:jc w:val="both"/>
        <w:rPr>
          <w:rFonts w:eastAsia="Times New Roman" w:cstheme="minorHAnsi"/>
          <w:lang w:eastAsia="it-IT"/>
        </w:rPr>
      </w:pPr>
      <w:r w:rsidRPr="00001447">
        <w:rPr>
          <w:rFonts w:eastAsia="Times New Roman" w:cstheme="minorHAnsi"/>
          <w:lang w:eastAsia="it-IT"/>
        </w:rPr>
        <w:t>Con la medesima ordinanza il giudice fissa il termine entro il quale essa deve essere notificata, a cura del creditore che ha chiesto la vendita o di un altro autorizzato, ai creditori di cui all'articolo </w:t>
      </w:r>
      <w:hyperlink r:id="rId21" w:tooltip="Liquidazione dell'eredità in caso di opposizione" w:history="1">
        <w:r w:rsidRPr="00001447">
          <w:rPr>
            <w:rFonts w:eastAsia="Times New Roman" w:cstheme="minorHAnsi"/>
            <w:u w:val="single"/>
            <w:lang w:eastAsia="it-IT"/>
          </w:rPr>
          <w:t>498</w:t>
        </w:r>
      </w:hyperlink>
      <w:r w:rsidRPr="00001447">
        <w:rPr>
          <w:rFonts w:eastAsia="Times New Roman" w:cstheme="minorHAnsi"/>
          <w:lang w:eastAsia="it-IT"/>
        </w:rPr>
        <w:t> che non sono comparsi.</w:t>
      </w:r>
    </w:p>
    <w:p w14:paraId="6DCAC2EC" w14:textId="77777777" w:rsidR="007D14E5" w:rsidRDefault="007D14E5" w:rsidP="00001447"/>
    <w:sectPr w:rsidR="007D14E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B96E00"/>
    <w:multiLevelType w:val="multilevel"/>
    <w:tmpl w:val="9504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6C"/>
    <w:rsid w:val="00001447"/>
    <w:rsid w:val="007D14E5"/>
    <w:rsid w:val="00A44C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87741"/>
  <w15:chartTrackingRefBased/>
  <w15:docId w15:val="{CD294985-1A97-4122-B025-54C9FA1DF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0014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001447"/>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001447"/>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1447"/>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001447"/>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001447"/>
    <w:rPr>
      <w:rFonts w:ascii="Times New Roman" w:eastAsia="Times New Roman" w:hAnsi="Times New Roman" w:cs="Times New Roman"/>
      <w:b/>
      <w:bCs/>
      <w:sz w:val="27"/>
      <w:szCs w:val="27"/>
      <w:lang w:eastAsia="it-IT"/>
    </w:rPr>
  </w:style>
  <w:style w:type="paragraph" w:customStyle="1" w:styleId="current">
    <w:name w:val="current"/>
    <w:basedOn w:val="Normale"/>
    <w:rsid w:val="0000144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001447"/>
    <w:rPr>
      <w:color w:val="0000FF"/>
      <w:u w:val="single"/>
    </w:rPr>
  </w:style>
  <w:style w:type="paragraph" w:customStyle="1" w:styleId="consulenza">
    <w:name w:val="consulenza"/>
    <w:basedOn w:val="Normale"/>
    <w:rsid w:val="0000144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mma">
    <w:name w:val="comma"/>
    <w:basedOn w:val="Normale"/>
    <w:rsid w:val="00001447"/>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547979">
      <w:bodyDiv w:val="1"/>
      <w:marLeft w:val="0"/>
      <w:marRight w:val="0"/>
      <w:marTop w:val="0"/>
      <w:marBottom w:val="0"/>
      <w:divBdr>
        <w:top w:val="none" w:sz="0" w:space="0" w:color="auto"/>
        <w:left w:val="none" w:sz="0" w:space="0" w:color="auto"/>
        <w:bottom w:val="none" w:sz="0" w:space="0" w:color="auto"/>
        <w:right w:val="none" w:sz="0" w:space="0" w:color="auto"/>
      </w:divBdr>
      <w:divsChild>
        <w:div w:id="804851149">
          <w:marLeft w:val="-420"/>
          <w:marRight w:val="-420"/>
          <w:marTop w:val="0"/>
          <w:marBottom w:val="450"/>
          <w:divBdr>
            <w:top w:val="none" w:sz="0" w:space="0" w:color="auto"/>
            <w:left w:val="none" w:sz="0" w:space="0" w:color="auto"/>
            <w:bottom w:val="none" w:sz="0" w:space="0" w:color="auto"/>
            <w:right w:val="none" w:sz="0" w:space="0" w:color="auto"/>
          </w:divBdr>
          <w:divsChild>
            <w:div w:id="1883664303">
              <w:marLeft w:val="0"/>
              <w:marRight w:val="0"/>
              <w:marTop w:val="225"/>
              <w:marBottom w:val="675"/>
              <w:divBdr>
                <w:top w:val="none" w:sz="0" w:space="0" w:color="auto"/>
                <w:left w:val="none" w:sz="0" w:space="0" w:color="auto"/>
                <w:bottom w:val="none" w:sz="0" w:space="0" w:color="auto"/>
                <w:right w:val="none" w:sz="0" w:space="0" w:color="auto"/>
              </w:divBdr>
            </w:div>
          </w:divsChild>
        </w:div>
        <w:div w:id="1207377984">
          <w:marLeft w:val="0"/>
          <w:marRight w:val="0"/>
          <w:marTop w:val="0"/>
          <w:marBottom w:val="0"/>
          <w:divBdr>
            <w:top w:val="none" w:sz="0" w:space="0" w:color="auto"/>
            <w:left w:val="none" w:sz="0" w:space="0" w:color="auto"/>
            <w:bottom w:val="none" w:sz="0" w:space="0" w:color="auto"/>
            <w:right w:val="none" w:sz="0" w:space="0" w:color="auto"/>
          </w:divBdr>
          <w:divsChild>
            <w:div w:id="1241257120">
              <w:marLeft w:val="0"/>
              <w:marRight w:val="0"/>
              <w:marTop w:val="0"/>
              <w:marBottom w:val="900"/>
              <w:divBdr>
                <w:top w:val="none" w:sz="0" w:space="0" w:color="auto"/>
                <w:left w:val="none" w:sz="0" w:space="0" w:color="auto"/>
                <w:bottom w:val="none" w:sz="0" w:space="0" w:color="auto"/>
                <w:right w:val="none" w:sz="0" w:space="0" w:color="auto"/>
              </w:divBdr>
              <w:divsChild>
                <w:div w:id="1950160948">
                  <w:marLeft w:val="0"/>
                  <w:marRight w:val="150"/>
                  <w:marTop w:val="225"/>
                  <w:marBottom w:val="0"/>
                  <w:divBdr>
                    <w:top w:val="none" w:sz="0" w:space="0" w:color="auto"/>
                    <w:left w:val="none" w:sz="0" w:space="0" w:color="auto"/>
                    <w:bottom w:val="none" w:sz="0" w:space="0" w:color="auto"/>
                    <w:right w:val="none" w:sz="0" w:space="0" w:color="auto"/>
                  </w:divBdr>
                </w:div>
                <w:div w:id="54014398">
                  <w:marLeft w:val="450"/>
                  <w:marRight w:val="450"/>
                  <w:marTop w:val="0"/>
                  <w:marBottom w:val="225"/>
                  <w:divBdr>
                    <w:top w:val="none" w:sz="0" w:space="0" w:color="auto"/>
                    <w:left w:val="none" w:sz="0" w:space="0" w:color="auto"/>
                    <w:bottom w:val="none" w:sz="0" w:space="0" w:color="auto"/>
                    <w:right w:val="none" w:sz="0" w:space="0" w:color="auto"/>
                  </w:divBdr>
                </w:div>
                <w:div w:id="173566413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cardi.it/codice-di-procedura-civile/libro-terzo/titolo-ii/capo-i/sezione-iii/art498.html" TargetMode="External"/><Relationship Id="rId13" Type="http://schemas.openxmlformats.org/officeDocument/2006/relationships/hyperlink" Target="https://www.brocardi.it/codice-di-procedura-civile/libro-terzo/titolo-ii/capo-iv/sezione-iii/art569.html?q=569+cpc&amp;area=codici" TargetMode="External"/><Relationship Id="rId18" Type="http://schemas.openxmlformats.org/officeDocument/2006/relationships/hyperlink" Target="https://www.brocardi.it/codice-civile/libro-secondo/titolo-ii/capo-i/art576.html" TargetMode="External"/><Relationship Id="rId3" Type="http://schemas.openxmlformats.org/officeDocument/2006/relationships/settings" Target="settings.xml"/><Relationship Id="rId21" Type="http://schemas.openxmlformats.org/officeDocument/2006/relationships/hyperlink" Target="https://www.brocardi.it/codice-civile/libro-secondo/titolo-i/capo-v/sezione-ii/art498.html" TargetMode="External"/><Relationship Id="rId7" Type="http://schemas.openxmlformats.org/officeDocument/2006/relationships/hyperlink" Target="https://www.brocardi.it/codice-civile/libro-secondo/titolo-ii/capo-i/art567.html" TargetMode="External"/><Relationship Id="rId12" Type="http://schemas.openxmlformats.org/officeDocument/2006/relationships/hyperlink" Target="https://www.brocardi.it/codice-di-procedura-civile/libro-terzo/titolo-ii/capo-i/sezione-ii/art495.html" TargetMode="External"/><Relationship Id="rId17" Type="http://schemas.openxmlformats.org/officeDocument/2006/relationships/hyperlink" Target="https://www.brocardi.it/codice-civile/libro-secondo/titolo-ii/capo-i/art573.html" TargetMode="External"/><Relationship Id="rId2" Type="http://schemas.openxmlformats.org/officeDocument/2006/relationships/styles" Target="styles.xml"/><Relationship Id="rId16" Type="http://schemas.openxmlformats.org/officeDocument/2006/relationships/hyperlink" Target="https://www.brocardi.it/codice-civile/libro-secondo/titolo-ii/capo-i/art568.html" TargetMode="External"/><Relationship Id="rId20" Type="http://schemas.openxmlformats.org/officeDocument/2006/relationships/hyperlink" Target="https://www.brocardi.it/codice-di-procedura-civile/libro-terzo/titolo-ii/capo-iv/sezione-iii/art569.html?q=569+cpc&amp;area=codici" TargetMode="External"/><Relationship Id="rId1" Type="http://schemas.openxmlformats.org/officeDocument/2006/relationships/numbering" Target="numbering.xml"/><Relationship Id="rId6" Type="http://schemas.openxmlformats.org/officeDocument/2006/relationships/hyperlink" Target="https://www.brocardi.it/dizionario/5735.html" TargetMode="External"/><Relationship Id="rId11" Type="http://schemas.openxmlformats.org/officeDocument/2006/relationships/hyperlink" Target="https://www.brocardi.it/codice-di-procedura-civile/libro-terzo/titolo-ii/capo-i/sezione-iii/art499.html" TargetMode="External"/><Relationship Id="rId5" Type="http://schemas.openxmlformats.org/officeDocument/2006/relationships/hyperlink" Target="https://www.brocardi.it/codice-di-procedura-civile/libro-terzo/titolo-ii/capo-iv/sezione-iii/art567.html" TargetMode="External"/><Relationship Id="rId15" Type="http://schemas.openxmlformats.org/officeDocument/2006/relationships/hyperlink" Target="https://www.brocardi.it/codice-civile/libro-secondo/titolo-ii/capo-i/art571.html" TargetMode="External"/><Relationship Id="rId23" Type="http://schemas.openxmlformats.org/officeDocument/2006/relationships/theme" Target="theme/theme1.xml"/><Relationship Id="rId10" Type="http://schemas.openxmlformats.org/officeDocument/2006/relationships/hyperlink" Target="https://www.brocardi.it/codice-di-procedura-civile/libro-terzo/titolo-ii/capo-iv/sezione-ii/art566.html" TargetMode="External"/><Relationship Id="rId19" Type="http://schemas.openxmlformats.org/officeDocument/2006/relationships/hyperlink" Target="https://www.brocardi.it/codice-civile/libro-secondo/titolo-ii/capo-i/art568.html" TargetMode="External"/><Relationship Id="rId4" Type="http://schemas.openxmlformats.org/officeDocument/2006/relationships/webSettings" Target="webSettings.xml"/><Relationship Id="rId9" Type="http://schemas.openxmlformats.org/officeDocument/2006/relationships/hyperlink" Target="https://www.brocardi.it/codice-di-procedura-civile/libro-terzo/titolo-ii/capo-iv/sezione-ii/art565.html" TargetMode="External"/><Relationship Id="rId14" Type="http://schemas.openxmlformats.org/officeDocument/2006/relationships/hyperlink" Target="https://www.brocardi.it/dizionario/3612.html"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905</Words>
  <Characters>5160</Characters>
  <Application>Microsoft Office Word</Application>
  <DocSecurity>0</DocSecurity>
  <Lines>43</Lines>
  <Paragraphs>12</Paragraphs>
  <ScaleCrop>false</ScaleCrop>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D'Amico Dorotea</dc:creator>
  <cp:keywords/>
  <dc:description/>
  <cp:lastModifiedBy>D'Amico Dorotea</cp:lastModifiedBy>
  <cp:revision>2</cp:revision>
  <dcterms:created xsi:type="dcterms:W3CDTF">2021-06-14T17:08:00Z</dcterms:created>
  <dcterms:modified xsi:type="dcterms:W3CDTF">2021-06-14T17:13:00Z</dcterms:modified>
</cp:coreProperties>
</file>