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830A" w14:textId="4C0E82B5" w:rsidR="00F964D4" w:rsidRPr="00F964D4" w:rsidRDefault="00F964D4" w:rsidP="00F964D4">
      <w:pPr>
        <w:spacing w:after="0" w:line="276" w:lineRule="auto"/>
        <w:jc w:val="center"/>
        <w:outlineLvl w:val="0"/>
        <w:rPr>
          <w:rFonts w:eastAsia="Times New Roman" w:cstheme="minorHAnsi"/>
          <w:b/>
          <w:bCs/>
          <w:lang w:eastAsia="it-IT"/>
        </w:rPr>
      </w:pPr>
      <w:r w:rsidRPr="00F964D4">
        <w:rPr>
          <w:rFonts w:eastAsia="Times New Roman" w:cstheme="minorHAnsi"/>
          <w:b/>
          <w:bCs/>
          <w:kern w:val="36"/>
          <w:lang w:eastAsia="it-IT"/>
        </w:rPr>
        <w:t>Articolo 107 Legge fallimentare</w:t>
      </w:r>
      <w:r>
        <w:rPr>
          <w:rFonts w:eastAsia="Times New Roman" w:cstheme="minorHAnsi"/>
          <w:b/>
          <w:bCs/>
          <w:kern w:val="36"/>
          <w:lang w:eastAsia="it-IT"/>
        </w:rPr>
        <w:t xml:space="preserve"> </w:t>
      </w:r>
      <w:r w:rsidRPr="00F964D4">
        <w:rPr>
          <w:rFonts w:eastAsia="Times New Roman" w:cstheme="minorHAnsi"/>
          <w:b/>
          <w:bCs/>
          <w:lang w:eastAsia="it-IT"/>
        </w:rPr>
        <w:t>(R.D. 16 marzo 1942, n. 267)</w:t>
      </w:r>
    </w:p>
    <w:p w14:paraId="2CAA64DE" w14:textId="77777777" w:rsidR="00F964D4" w:rsidRPr="00F964D4" w:rsidRDefault="00F964D4" w:rsidP="00F964D4">
      <w:pPr>
        <w:spacing w:line="276" w:lineRule="auto"/>
        <w:jc w:val="center"/>
        <w:outlineLvl w:val="2"/>
        <w:rPr>
          <w:rFonts w:eastAsia="Times New Roman" w:cstheme="minorHAnsi"/>
          <w:b/>
          <w:bCs/>
          <w:lang w:eastAsia="it-IT"/>
        </w:rPr>
      </w:pPr>
      <w:r w:rsidRPr="00F964D4">
        <w:rPr>
          <w:rFonts w:eastAsia="Times New Roman" w:cstheme="minorHAnsi"/>
          <w:b/>
          <w:bCs/>
          <w:lang w:eastAsia="it-IT"/>
        </w:rPr>
        <w:t>Modalità delle vendite</w:t>
      </w:r>
    </w:p>
    <w:p w14:paraId="3C7FEC5E" w14:textId="51791159" w:rsidR="00F964D4" w:rsidRPr="00F964D4" w:rsidRDefault="00F964D4" w:rsidP="00F964D4">
      <w:pPr>
        <w:spacing w:after="0" w:line="276" w:lineRule="auto"/>
        <w:rPr>
          <w:rFonts w:eastAsia="Times New Roman" w:cstheme="minorHAnsi"/>
          <w:lang w:eastAsia="it-IT"/>
        </w:rPr>
      </w:pPr>
      <w:bookmarkStart w:id="0" w:name="dispositivo"/>
      <w:bookmarkEnd w:id="0"/>
    </w:p>
    <w:p w14:paraId="017D5195" w14:textId="2D17105B" w:rsidR="00F964D4" w:rsidRPr="00F964D4" w:rsidRDefault="00F964D4" w:rsidP="00F964D4">
      <w:pPr>
        <w:spacing w:after="0" w:line="276" w:lineRule="auto"/>
        <w:jc w:val="both"/>
        <w:rPr>
          <w:rFonts w:eastAsia="Times New Roman" w:cstheme="minorHAnsi"/>
          <w:lang w:eastAsia="it-IT"/>
        </w:rPr>
      </w:pPr>
      <w:r w:rsidRPr="00F964D4">
        <w:rPr>
          <w:rFonts w:eastAsia="Times New Roman" w:cstheme="minorHAnsi"/>
          <w:lang w:eastAsia="it-IT"/>
        </w:rPr>
        <w:t>Le vendite e gli altri atti di liquidazione posti in essere in esecuzione del programma di liquidazione sono effettuati dal curatore tramite procedure competitive anche avvalendosi di soggetti specializzati, sulla base di stime effettuate, salvo il caso di beni di modesto valore, da parte di operatori esperti, assicurando, con adeguate forme di pubblicità, la massima informazione e partecipazione degli interessati. Le vendite e gli atti di liquidazione possono prevedere che il versamento del prezzo abbia luogo ratealmente; si applicano, in quanto compatibili, le disposizioni di cui agli articoli 569, terzo comma, terzo periodo, 574, primo comma, secondo periodo e 587, primo comma, secondo periodo, del codice di procedura civile. In ogni caso, al fine di assicurare la massima informazione e partecipazione degli interessati, il curatore effettua la pubblicità prevista dall'articolo 490, primo comma, del codice di procedura civile, almeno trenta giorni prima dell'inizio della procedura competitiva.</w:t>
      </w:r>
    </w:p>
    <w:p w14:paraId="3FAF6CF6" w14:textId="2ECDF1B7" w:rsidR="00F964D4" w:rsidRPr="00F964D4" w:rsidRDefault="00F964D4" w:rsidP="00F964D4">
      <w:pPr>
        <w:spacing w:before="140" w:after="0" w:line="276" w:lineRule="auto"/>
        <w:jc w:val="both"/>
        <w:rPr>
          <w:rFonts w:eastAsia="Times New Roman" w:cstheme="minorHAnsi"/>
          <w:lang w:eastAsia="it-IT"/>
        </w:rPr>
      </w:pPr>
      <w:r w:rsidRPr="00F964D4">
        <w:rPr>
          <w:rFonts w:eastAsia="Times New Roman" w:cstheme="minorHAnsi"/>
          <w:lang w:eastAsia="it-IT"/>
        </w:rPr>
        <w:t>Il curatore può prevedere nel programma di liquidazione [</w:t>
      </w:r>
      <w:hyperlink r:id="rId5" w:tooltip="Programma di liquidazione" w:history="1">
        <w:r w:rsidRPr="00F964D4">
          <w:rPr>
            <w:rFonts w:eastAsia="Times New Roman" w:cstheme="minorHAnsi"/>
            <w:u w:val="single"/>
            <w:lang w:eastAsia="it-IT"/>
          </w:rPr>
          <w:t>104 ter</w:t>
        </w:r>
      </w:hyperlink>
      <w:r w:rsidRPr="00F964D4">
        <w:rPr>
          <w:rFonts w:eastAsia="Times New Roman" w:cstheme="minorHAnsi"/>
          <w:lang w:eastAsia="it-IT"/>
        </w:rPr>
        <w:t>] che le vendite dei beni mobili, immobili e mobili registrati vengano effettuate dal giudice delegato secondo le disposizioni del codice di procedura civile in quanto compatibili.</w:t>
      </w:r>
    </w:p>
    <w:p w14:paraId="47F3FD2C" w14:textId="21DC4959" w:rsidR="00F964D4" w:rsidRPr="00F964D4" w:rsidRDefault="00F964D4" w:rsidP="00F964D4">
      <w:pPr>
        <w:spacing w:before="140" w:after="0" w:line="276" w:lineRule="auto"/>
        <w:jc w:val="both"/>
        <w:rPr>
          <w:rFonts w:eastAsia="Times New Roman" w:cstheme="minorHAnsi"/>
          <w:lang w:eastAsia="it-IT"/>
        </w:rPr>
      </w:pPr>
      <w:r w:rsidRPr="00F964D4">
        <w:rPr>
          <w:rFonts w:eastAsia="Times New Roman" w:cstheme="minorHAnsi"/>
          <w:lang w:eastAsia="it-IT"/>
        </w:rPr>
        <w:t>Per i beni immobili e gli altri </w:t>
      </w:r>
      <w:hyperlink r:id="rId6" w:tooltip="Dizionario Giuridico: Mobili iscritti in pubblici registri" w:history="1">
        <w:r w:rsidRPr="00F964D4">
          <w:rPr>
            <w:rFonts w:eastAsia="Times New Roman" w:cstheme="minorHAnsi"/>
            <w:u w:val="single"/>
            <w:lang w:eastAsia="it-IT"/>
          </w:rPr>
          <w:t>beni iscritti nei pubblici registri</w:t>
        </w:r>
      </w:hyperlink>
      <w:r w:rsidRPr="00F964D4">
        <w:rPr>
          <w:rFonts w:eastAsia="Times New Roman" w:cstheme="minorHAnsi"/>
          <w:lang w:eastAsia="it-IT"/>
        </w:rPr>
        <w:t>, prima del completamento delle operazioni di vendita, è data notizia mediante notificazione da parte del curatore, a ciascuno dei creditori ipotecari o comunque muniti di privilegio</w:t>
      </w:r>
      <w:hyperlink r:id="rId7" w:anchor="nota_18421" w:history="1"/>
      <w:r w:rsidRPr="00F964D4">
        <w:rPr>
          <w:rFonts w:eastAsia="Times New Roman" w:cstheme="minorHAnsi"/>
          <w:lang w:eastAsia="it-IT"/>
        </w:rPr>
        <w:t>.</w:t>
      </w:r>
    </w:p>
    <w:p w14:paraId="76446430" w14:textId="041BFF4A" w:rsidR="00F964D4" w:rsidRPr="00F964D4" w:rsidRDefault="00F964D4" w:rsidP="00F964D4">
      <w:pPr>
        <w:spacing w:before="140" w:after="0" w:line="276" w:lineRule="auto"/>
        <w:jc w:val="both"/>
        <w:rPr>
          <w:rFonts w:eastAsia="Times New Roman" w:cstheme="minorHAnsi"/>
          <w:lang w:eastAsia="it-IT"/>
        </w:rPr>
      </w:pPr>
      <w:r w:rsidRPr="00F964D4">
        <w:rPr>
          <w:rFonts w:eastAsia="Times New Roman" w:cstheme="minorHAnsi"/>
          <w:lang w:eastAsia="it-IT"/>
        </w:rPr>
        <w:t>Il curatore può sospendere la vendita ove pervenga offerta irrevocabile d'acquisto migliorativa per un importo non inferiore al dieci per cento del prezzo offerto</w:t>
      </w:r>
      <w:hyperlink r:id="rId8" w:anchor="nota_18422" w:history="1"/>
      <w:r w:rsidRPr="00F964D4">
        <w:rPr>
          <w:rFonts w:eastAsia="Times New Roman" w:cstheme="minorHAnsi"/>
          <w:lang w:eastAsia="it-IT"/>
        </w:rPr>
        <w:t>.</w:t>
      </w:r>
    </w:p>
    <w:p w14:paraId="38C47229" w14:textId="77777777" w:rsidR="00F964D4" w:rsidRPr="00F964D4" w:rsidRDefault="00F964D4" w:rsidP="00F964D4">
      <w:pPr>
        <w:spacing w:before="140" w:after="0" w:line="276" w:lineRule="auto"/>
        <w:jc w:val="both"/>
        <w:rPr>
          <w:rFonts w:eastAsia="Times New Roman" w:cstheme="minorHAnsi"/>
          <w:lang w:eastAsia="it-IT"/>
        </w:rPr>
      </w:pPr>
      <w:r w:rsidRPr="00F964D4">
        <w:rPr>
          <w:rFonts w:eastAsia="Times New Roman" w:cstheme="minorHAnsi"/>
          <w:lang w:eastAsia="it-IT"/>
        </w:rPr>
        <w:t>Degli esiti delle procedure, il curatore informa il giudice delegato ed il comitato dei creditori, depositando in cancelleria la relativa documentazione.</w:t>
      </w:r>
    </w:p>
    <w:p w14:paraId="635C57F3" w14:textId="77777777" w:rsidR="00F964D4" w:rsidRPr="00F964D4" w:rsidRDefault="00F964D4" w:rsidP="00F964D4">
      <w:pPr>
        <w:spacing w:before="140" w:after="0" w:line="276" w:lineRule="auto"/>
        <w:jc w:val="both"/>
        <w:rPr>
          <w:rFonts w:eastAsia="Times New Roman" w:cstheme="minorHAnsi"/>
          <w:lang w:eastAsia="it-IT"/>
        </w:rPr>
      </w:pPr>
      <w:r w:rsidRPr="00F964D4">
        <w:rPr>
          <w:rFonts w:eastAsia="Times New Roman" w:cstheme="minorHAnsi"/>
          <w:lang w:eastAsia="it-IT"/>
        </w:rPr>
        <w:t>Se alla data di dichiarazione di fallimento sono pendenti </w:t>
      </w:r>
      <w:hyperlink r:id="rId9" w:tooltip="Dizionario Giuridico: Azione esecutiva" w:history="1">
        <w:r w:rsidRPr="00F964D4">
          <w:rPr>
            <w:rFonts w:eastAsia="Times New Roman" w:cstheme="minorHAnsi"/>
            <w:u w:val="single"/>
            <w:lang w:eastAsia="it-IT"/>
          </w:rPr>
          <w:t>procedure esecutive</w:t>
        </w:r>
      </w:hyperlink>
      <w:r w:rsidRPr="00F964D4">
        <w:rPr>
          <w:rFonts w:eastAsia="Times New Roman" w:cstheme="minorHAnsi"/>
          <w:lang w:eastAsia="it-IT"/>
        </w:rPr>
        <w:t>, il curatore può subentrarvi; in tale caso si applicano le disposizione del codice di procedura civile; altrimenti su istanza del curatore il giudice dell'esecuzione dichiara l'improcedibilità dell'esecuzione, salvi i casi di deroga di cui all'articolo </w:t>
      </w:r>
      <w:hyperlink r:id="rId10" w:tooltip="Divieto di azioni esecutive e cautelari individuali" w:history="1">
        <w:r w:rsidRPr="00F964D4">
          <w:rPr>
            <w:rFonts w:eastAsia="Times New Roman" w:cstheme="minorHAnsi"/>
            <w:u w:val="single"/>
            <w:lang w:eastAsia="it-IT"/>
          </w:rPr>
          <w:t>51</w:t>
        </w:r>
      </w:hyperlink>
      <w:r w:rsidRPr="00F964D4">
        <w:rPr>
          <w:rFonts w:eastAsia="Times New Roman" w:cstheme="minorHAnsi"/>
          <w:lang w:eastAsia="it-IT"/>
        </w:rPr>
        <w:t>.</w:t>
      </w:r>
    </w:p>
    <w:p w14:paraId="68A6E2F0" w14:textId="77777777" w:rsidR="00F964D4" w:rsidRPr="00F964D4" w:rsidRDefault="00F964D4" w:rsidP="00F964D4">
      <w:pPr>
        <w:spacing w:before="140" w:line="276" w:lineRule="auto"/>
        <w:jc w:val="both"/>
        <w:rPr>
          <w:rFonts w:eastAsia="Times New Roman" w:cstheme="minorHAnsi"/>
          <w:lang w:eastAsia="it-IT"/>
        </w:rPr>
      </w:pPr>
      <w:r w:rsidRPr="00F964D4">
        <w:rPr>
          <w:rFonts w:eastAsia="Times New Roman" w:cstheme="minorHAnsi"/>
          <w:lang w:eastAsia="it-IT"/>
        </w:rPr>
        <w:t>Con regolamento del Ministro della giustizia, da adottare ai sensi dell'articolo 17, comma 3, della legge 23 agosto 1988, n. 400, sono stabiliti requisiti di onorabilità e professionalità dei soggetti specializzati e degli operatori esperti dei quali il curatore può avvalersi ai sensi del primo comma, nonché i mezzi di </w:t>
      </w:r>
      <w:hyperlink r:id="rId11" w:tooltip="Dizionario Giuridico: Pubblicità degli atti giuridici" w:history="1">
        <w:r w:rsidRPr="00F964D4">
          <w:rPr>
            <w:rFonts w:eastAsia="Times New Roman" w:cstheme="minorHAnsi"/>
            <w:u w:val="single"/>
            <w:lang w:eastAsia="it-IT"/>
          </w:rPr>
          <w:t>pubblicità</w:t>
        </w:r>
      </w:hyperlink>
      <w:r w:rsidRPr="00F964D4">
        <w:rPr>
          <w:rFonts w:eastAsia="Times New Roman" w:cstheme="minorHAnsi"/>
          <w:lang w:eastAsia="it-IT"/>
        </w:rPr>
        <w:t> e trasparenza delle operazioni di vendita.</w:t>
      </w:r>
    </w:p>
    <w:p w14:paraId="79C2BC5D" w14:textId="77777777" w:rsidR="00554229" w:rsidRDefault="00554229"/>
    <w:sectPr w:rsidR="005542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DD4"/>
    <w:multiLevelType w:val="multilevel"/>
    <w:tmpl w:val="547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35"/>
    <w:rsid w:val="00554229"/>
    <w:rsid w:val="00C01635"/>
    <w:rsid w:val="00F964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9AEA"/>
  <w15:chartTrackingRefBased/>
  <w15:docId w15:val="{A6ABEB64-6DE9-4ED5-B7C9-3CE81A8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96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964D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964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64D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964D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964D4"/>
    <w:rPr>
      <w:rFonts w:ascii="Times New Roman" w:eastAsia="Times New Roman" w:hAnsi="Times New Roman" w:cs="Times New Roman"/>
      <w:b/>
      <w:bCs/>
      <w:sz w:val="27"/>
      <w:szCs w:val="27"/>
      <w:lang w:eastAsia="it-IT"/>
    </w:rPr>
  </w:style>
  <w:style w:type="paragraph" w:customStyle="1" w:styleId="current">
    <w:name w:val="current"/>
    <w:basedOn w:val="Normale"/>
    <w:rsid w:val="00F964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964D4"/>
    <w:rPr>
      <w:color w:val="0000FF"/>
      <w:u w:val="single"/>
    </w:rPr>
  </w:style>
  <w:style w:type="paragraph" w:customStyle="1" w:styleId="consulenza">
    <w:name w:val="consulenza"/>
    <w:basedOn w:val="Normale"/>
    <w:rsid w:val="00F964D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F964D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5060">
      <w:bodyDiv w:val="1"/>
      <w:marLeft w:val="0"/>
      <w:marRight w:val="0"/>
      <w:marTop w:val="0"/>
      <w:marBottom w:val="0"/>
      <w:divBdr>
        <w:top w:val="none" w:sz="0" w:space="0" w:color="auto"/>
        <w:left w:val="none" w:sz="0" w:space="0" w:color="auto"/>
        <w:bottom w:val="none" w:sz="0" w:space="0" w:color="auto"/>
        <w:right w:val="none" w:sz="0" w:space="0" w:color="auto"/>
      </w:divBdr>
      <w:divsChild>
        <w:div w:id="641497177">
          <w:marLeft w:val="-420"/>
          <w:marRight w:val="-420"/>
          <w:marTop w:val="0"/>
          <w:marBottom w:val="450"/>
          <w:divBdr>
            <w:top w:val="none" w:sz="0" w:space="0" w:color="auto"/>
            <w:left w:val="none" w:sz="0" w:space="0" w:color="auto"/>
            <w:bottom w:val="none" w:sz="0" w:space="0" w:color="auto"/>
            <w:right w:val="none" w:sz="0" w:space="0" w:color="auto"/>
          </w:divBdr>
          <w:divsChild>
            <w:div w:id="1446652755">
              <w:marLeft w:val="0"/>
              <w:marRight w:val="0"/>
              <w:marTop w:val="225"/>
              <w:marBottom w:val="675"/>
              <w:divBdr>
                <w:top w:val="none" w:sz="0" w:space="0" w:color="auto"/>
                <w:left w:val="none" w:sz="0" w:space="0" w:color="auto"/>
                <w:bottom w:val="none" w:sz="0" w:space="0" w:color="auto"/>
                <w:right w:val="none" w:sz="0" w:space="0" w:color="auto"/>
              </w:divBdr>
            </w:div>
          </w:divsChild>
        </w:div>
        <w:div w:id="1377508234">
          <w:marLeft w:val="0"/>
          <w:marRight w:val="0"/>
          <w:marTop w:val="0"/>
          <w:marBottom w:val="0"/>
          <w:divBdr>
            <w:top w:val="none" w:sz="0" w:space="0" w:color="auto"/>
            <w:left w:val="none" w:sz="0" w:space="0" w:color="auto"/>
            <w:bottom w:val="none" w:sz="0" w:space="0" w:color="auto"/>
            <w:right w:val="none" w:sz="0" w:space="0" w:color="auto"/>
          </w:divBdr>
          <w:divsChild>
            <w:div w:id="698235506">
              <w:marLeft w:val="0"/>
              <w:marRight w:val="0"/>
              <w:marTop w:val="0"/>
              <w:marBottom w:val="900"/>
              <w:divBdr>
                <w:top w:val="none" w:sz="0" w:space="0" w:color="auto"/>
                <w:left w:val="none" w:sz="0" w:space="0" w:color="auto"/>
                <w:bottom w:val="none" w:sz="0" w:space="0" w:color="auto"/>
                <w:right w:val="none" w:sz="0" w:space="0" w:color="auto"/>
              </w:divBdr>
              <w:divsChild>
                <w:div w:id="1123428597">
                  <w:marLeft w:val="0"/>
                  <w:marRight w:val="150"/>
                  <w:marTop w:val="225"/>
                  <w:marBottom w:val="0"/>
                  <w:divBdr>
                    <w:top w:val="none" w:sz="0" w:space="0" w:color="auto"/>
                    <w:left w:val="none" w:sz="0" w:space="0" w:color="auto"/>
                    <w:bottom w:val="none" w:sz="0" w:space="0" w:color="auto"/>
                    <w:right w:val="none" w:sz="0" w:space="0" w:color="auto"/>
                  </w:divBdr>
                </w:div>
                <w:div w:id="1621301009">
                  <w:marLeft w:val="450"/>
                  <w:marRight w:val="450"/>
                  <w:marTop w:val="0"/>
                  <w:marBottom w:val="225"/>
                  <w:divBdr>
                    <w:top w:val="none" w:sz="0" w:space="0" w:color="auto"/>
                    <w:left w:val="none" w:sz="0" w:space="0" w:color="auto"/>
                    <w:bottom w:val="none" w:sz="0" w:space="0" w:color="auto"/>
                    <w:right w:val="none" w:sz="0" w:space="0" w:color="auto"/>
                  </w:divBdr>
                </w:div>
                <w:div w:id="889329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legge-fallimentare/titolo-ii/capo-vi/sezione-ii/art107.html?q=107+lfall&amp;area=codi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ocardi.it/legge-fallimentare/titolo-ii/capo-vi/sezione-ii/art107.html?q=107+lfall&amp;area=codic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dizionario/3504.html" TargetMode="External"/><Relationship Id="rId11" Type="http://schemas.openxmlformats.org/officeDocument/2006/relationships/hyperlink" Target="https://www.brocardi.it/dizionario/3199.html" TargetMode="External"/><Relationship Id="rId5" Type="http://schemas.openxmlformats.org/officeDocument/2006/relationships/hyperlink" Target="https://www.brocardi.it/legge-fallimentare/titolo-ii/capo-vi/sezione-i/art104ter.html" TargetMode="External"/><Relationship Id="rId10" Type="http://schemas.openxmlformats.org/officeDocument/2006/relationships/hyperlink" Target="https://www.brocardi.it/legge-fallimentare/titolo-ii/capo-iii/sezione-ii/art51.html" TargetMode="External"/><Relationship Id="rId4" Type="http://schemas.openxmlformats.org/officeDocument/2006/relationships/webSettings" Target="webSettings.xml"/><Relationship Id="rId9" Type="http://schemas.openxmlformats.org/officeDocument/2006/relationships/hyperlink" Target="https://www.brocardi.it/dizionario/3412.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Dorotea</dc:creator>
  <cp:keywords/>
  <dc:description/>
  <cp:lastModifiedBy>D'Amico Dorotea</cp:lastModifiedBy>
  <cp:revision>2</cp:revision>
  <dcterms:created xsi:type="dcterms:W3CDTF">2021-06-14T16:47:00Z</dcterms:created>
  <dcterms:modified xsi:type="dcterms:W3CDTF">2021-06-14T16:49:00Z</dcterms:modified>
</cp:coreProperties>
</file>