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5008" w14:textId="77777777" w:rsidR="000E1348" w:rsidRPr="000E1348" w:rsidRDefault="000E1348" w:rsidP="000E1348">
      <w:pPr>
        <w:pStyle w:val="Titolo1"/>
        <w:spacing w:before="0" w:line="315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348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Articolo 490 Codice di procedura civile</w:t>
      </w:r>
    </w:p>
    <w:p w14:paraId="5158E328" w14:textId="77777777" w:rsidR="000E1348" w:rsidRPr="000E1348" w:rsidRDefault="000E1348" w:rsidP="000E1348">
      <w:pPr>
        <w:pStyle w:val="Titolo3"/>
        <w:spacing w:before="0" w:line="390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348">
        <w:rPr>
          <w:rFonts w:asciiTheme="minorHAnsi" w:hAnsiTheme="minorHAnsi" w:cstheme="minorHAnsi"/>
          <w:b/>
          <w:bCs/>
          <w:color w:val="auto"/>
          <w:sz w:val="22"/>
          <w:szCs w:val="22"/>
        </w:rPr>
        <w:t>Pubblicità degli avvisi</w:t>
      </w:r>
    </w:p>
    <w:p w14:paraId="1B4D3FB1" w14:textId="77777777" w:rsidR="000E1348" w:rsidRDefault="000E1348" w:rsidP="00845D84">
      <w:pPr>
        <w:spacing w:after="0" w:line="276" w:lineRule="auto"/>
        <w:jc w:val="both"/>
      </w:pPr>
    </w:p>
    <w:p w14:paraId="6A1E304B" w14:textId="5A0F62C7" w:rsidR="00845D84" w:rsidRPr="00845D84" w:rsidRDefault="00845D84" w:rsidP="00845D84">
      <w:pPr>
        <w:spacing w:after="0" w:line="276" w:lineRule="auto"/>
        <w:jc w:val="both"/>
      </w:pPr>
      <w:r w:rsidRPr="00845D84">
        <w:t>Quando la legge dispone che di un atto esecutivo sia data pubblica notizia [</w:t>
      </w:r>
      <w:hyperlink r:id="rId4" w:tooltip="Vendita all'incanto" w:history="1">
        <w:r w:rsidRPr="00845D84">
          <w:t>534</w:t>
        </w:r>
      </w:hyperlink>
      <w:r w:rsidRPr="00845D84">
        <w:t>, </w:t>
      </w:r>
      <w:hyperlink r:id="rId5" w:tooltip="Avviso della vendita" w:history="1">
        <w:r w:rsidRPr="00845D84">
          <w:t>570</w:t>
        </w:r>
      </w:hyperlink>
      <w:r w:rsidRPr="00845D84">
        <w:t>, </w:t>
      </w:r>
      <w:hyperlink r:id="rId6" w:tooltip="Contenuto del provvedimento che dispone la vendita" w:history="1">
        <w:r w:rsidRPr="00845D84">
          <w:t>576</w:t>
        </w:r>
      </w:hyperlink>
      <w:r w:rsidRPr="00845D84">
        <w:t> n. 4, </w:t>
      </w:r>
      <w:hyperlink r:id="rId7" w:tooltip="Offerte dopo l'incanto" w:history="1">
        <w:r w:rsidRPr="00845D84">
          <w:t>584</w:t>
        </w:r>
      </w:hyperlink>
      <w:r w:rsidRPr="00845D84">
        <w:t> 2, </w:t>
      </w:r>
      <w:hyperlink r:id="rId8" w:tooltip="Provvedimento di amministrazione giudiziaria o di nuovo incanto" w:history="1">
        <w:r w:rsidRPr="00845D84">
          <w:t>591</w:t>
        </w:r>
      </w:hyperlink>
      <w:r w:rsidRPr="00845D84">
        <w:t>], un avviso contenente tutti i dati, che possono interessare il pubblico, deve essere inserito sul portale del Ministero della giustizia in un'area pubblica denominata “portale delle vendite pubbliche”.</w:t>
      </w:r>
    </w:p>
    <w:p w14:paraId="232F8C7B" w14:textId="5ABC0191" w:rsidR="00845D84" w:rsidRPr="00845D84" w:rsidRDefault="00845D84" w:rsidP="00845D84">
      <w:pPr>
        <w:spacing w:before="140" w:after="0" w:line="276" w:lineRule="auto"/>
        <w:jc w:val="both"/>
      </w:pPr>
      <w:r w:rsidRPr="00845D84">
        <w:t>In caso di espropriazione di beni mobili registrati, per un valore superiore a 25.000 euro e di beni immobili, lo stesso avviso, unitamente a copia dell'ordinanza del giudice e della relazione di stima redatta ai sensi dell'articolo 173-bis delle disposizioni di attuazione del presente codice, è altres</w:t>
      </w:r>
      <w:r>
        <w:t>ì</w:t>
      </w:r>
      <w:r w:rsidRPr="00845D84">
        <w:t xml:space="preserve"> inserito in appositi siti internet almeno quarantacinque giorni prima del termine per la presentazione delle offerte o della data dell'incanto.</w:t>
      </w:r>
    </w:p>
    <w:p w14:paraId="722D1F5A" w14:textId="742F4CFB" w:rsidR="00845D84" w:rsidRPr="00845D84" w:rsidRDefault="00845D84" w:rsidP="00845D84">
      <w:pPr>
        <w:spacing w:before="140" w:line="276" w:lineRule="auto"/>
        <w:ind w:firstLine="400"/>
        <w:jc w:val="both"/>
      </w:pPr>
      <w:r w:rsidRPr="00845D84">
        <w:t xml:space="preserve">Anche su istanza del creditore procedente o dei creditori intervenuti muniti di titolo esecutivo il giudice può disporre inoltre che l'avviso sia inserito almeno quarantacinque giorni prima del termine per la presentazione delle offerte una o più volte sui quotidiani di informazione locali aventi maggiore diffusione nella zona interessata o, quando opportuno, sui quotidiani di informazione nazionali o che sia divulgato con le forme della pubblicità commerciale. Sono equiparati ai quotidiani, i giornali di informazione locale, </w:t>
      </w:r>
      <w:proofErr w:type="spellStart"/>
      <w:r w:rsidRPr="00845D84">
        <w:t>multisettimanali</w:t>
      </w:r>
      <w:proofErr w:type="spellEnd"/>
      <w:r w:rsidRPr="00845D84">
        <w:t xml:space="preserve"> o settimanali editi da soggetti iscritti al Registro operatori della comunicazione (ROC) e aventi caratteristiche editoriali analoghe a quelle dei quotidiani che garantiscono la maggior diffusione nella zona interessata. Nell'avviso è omessa l'indicazione del debitore.</w:t>
      </w:r>
    </w:p>
    <w:p w14:paraId="4438F77E" w14:textId="77777777" w:rsidR="00494B09" w:rsidRDefault="00494B09"/>
    <w:sectPr w:rsidR="00494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F5"/>
    <w:rsid w:val="000E1348"/>
    <w:rsid w:val="00494B09"/>
    <w:rsid w:val="007A11F5"/>
    <w:rsid w:val="0084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36C6"/>
  <w15:chartTrackingRefBased/>
  <w15:docId w15:val="{974D12A7-9D18-4EFF-B47D-FE090BA8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1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45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45D8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45D84"/>
    <w:rPr>
      <w:color w:val="0000FF"/>
      <w:u w:val="single"/>
    </w:rPr>
  </w:style>
  <w:style w:type="paragraph" w:customStyle="1" w:styleId="comma">
    <w:name w:val="comma"/>
    <w:basedOn w:val="Normale"/>
    <w:rsid w:val="0084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740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050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codice-di-procedura-civile/libro-terzo/titolo-ii/capo-iv/sezione-iii/art59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cardi.it/codice-di-procedura-civile/libro-terzo/titolo-ii/capo-iv/sezione-iii/art58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ocardi.it/codice-di-procedura-civile/libro-terzo/titolo-ii/capo-iv/sezione-iii/art576.html" TargetMode="External"/><Relationship Id="rId5" Type="http://schemas.openxmlformats.org/officeDocument/2006/relationships/hyperlink" Target="https://www.brocardi.it/codice-di-procedura-civile/libro-terzo/titolo-ii/capo-iv/sezione-iii/art570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rocardi.it/codice-di-procedura-civile/libro-terzo/titolo-ii/capo-ii/sezione-iii/art53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3</cp:revision>
  <dcterms:created xsi:type="dcterms:W3CDTF">2021-06-14T16:30:00Z</dcterms:created>
  <dcterms:modified xsi:type="dcterms:W3CDTF">2021-06-14T16:43:00Z</dcterms:modified>
</cp:coreProperties>
</file>