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92AC" w14:textId="77777777" w:rsidR="005F5912" w:rsidRPr="005F5912" w:rsidRDefault="005F5912" w:rsidP="005F5912">
      <w:pPr>
        <w:spacing w:after="0" w:line="276" w:lineRule="auto"/>
        <w:jc w:val="center"/>
        <w:outlineLvl w:val="0"/>
        <w:rPr>
          <w:rFonts w:eastAsia="Times New Roman" w:cs="Tahoma"/>
          <w:b/>
          <w:bCs/>
          <w:kern w:val="36"/>
          <w:lang w:eastAsia="it-IT"/>
        </w:rPr>
      </w:pPr>
      <w:r w:rsidRPr="005F5912">
        <w:rPr>
          <w:rFonts w:eastAsia="Times New Roman" w:cs="Tahoma"/>
          <w:b/>
          <w:bCs/>
          <w:kern w:val="36"/>
          <w:lang w:eastAsia="it-IT"/>
        </w:rPr>
        <w:t>Articolo 530 Codice di procedura civile</w:t>
      </w:r>
    </w:p>
    <w:p w14:paraId="64B4782B" w14:textId="77777777" w:rsidR="005F5912" w:rsidRPr="005F5912" w:rsidRDefault="005F5912" w:rsidP="005F5912">
      <w:pPr>
        <w:spacing w:line="276" w:lineRule="auto"/>
        <w:jc w:val="center"/>
        <w:outlineLvl w:val="2"/>
        <w:rPr>
          <w:rFonts w:eastAsia="Times New Roman" w:cs="Tahoma"/>
          <w:b/>
          <w:bCs/>
          <w:lang w:eastAsia="it-IT"/>
        </w:rPr>
      </w:pPr>
      <w:r w:rsidRPr="005F5912">
        <w:rPr>
          <w:rFonts w:eastAsia="Times New Roman" w:cs="Tahoma"/>
          <w:b/>
          <w:bCs/>
          <w:lang w:eastAsia="it-IT"/>
        </w:rPr>
        <w:t>Provvedimento per l'assegnazione o per l'autorizzazione della vendita</w:t>
      </w:r>
    </w:p>
    <w:p w14:paraId="38070DA2" w14:textId="3215963F" w:rsidR="005F5912" w:rsidRPr="005F5912" w:rsidRDefault="005F5912" w:rsidP="005F5912">
      <w:pPr>
        <w:spacing w:after="0" w:line="276" w:lineRule="auto"/>
        <w:jc w:val="both"/>
        <w:rPr>
          <w:rFonts w:eastAsia="Times New Roman" w:cs="Tahoma"/>
          <w:lang w:eastAsia="it-IT"/>
        </w:rPr>
      </w:pPr>
      <w:bookmarkStart w:id="0" w:name="dispositivo"/>
      <w:bookmarkEnd w:id="0"/>
      <w:r w:rsidRPr="005F5912">
        <w:rPr>
          <w:rFonts w:eastAsia="Times New Roman" w:cs="Tahoma"/>
          <w:lang w:eastAsia="it-IT"/>
        </w:rPr>
        <w:br/>
        <w:t>Sull'istanza di cui all'articolo precedente il giudice dell'esecuzione</w:t>
      </w:r>
      <w:hyperlink r:id="rId5" w:anchor="nota_8756" w:history="1"/>
      <w:r>
        <w:rPr>
          <w:rFonts w:eastAsia="Times New Roman" w:cs="Tahoma"/>
          <w:vertAlign w:val="superscript"/>
          <w:lang w:eastAsia="it-IT"/>
        </w:rPr>
        <w:t xml:space="preserve"> </w:t>
      </w:r>
      <w:r w:rsidRPr="005F5912">
        <w:rPr>
          <w:rFonts w:eastAsia="Times New Roman" w:cs="Tahoma"/>
          <w:lang w:eastAsia="it-IT"/>
        </w:rPr>
        <w:t>fissa l'udienza per l'audizione delle </w:t>
      </w:r>
      <w:hyperlink r:id="rId6" w:tooltip="Dizionario Giuridico: Parte nel processo" w:history="1">
        <w:r w:rsidRPr="005F5912">
          <w:rPr>
            <w:rFonts w:eastAsia="Times New Roman" w:cs="Tahoma"/>
            <w:u w:val="single"/>
            <w:lang w:eastAsia="it-IT"/>
          </w:rPr>
          <w:t>parti</w:t>
        </w:r>
      </w:hyperlink>
      <w:hyperlink r:id="rId7" w:anchor="nota_8757" w:history="1"/>
      <w:r w:rsidRPr="005F5912">
        <w:rPr>
          <w:rFonts w:eastAsia="Times New Roman" w:cs="Tahoma"/>
          <w:lang w:eastAsia="it-IT"/>
        </w:rPr>
        <w:t>.</w:t>
      </w:r>
    </w:p>
    <w:p w14:paraId="01A2D559" w14:textId="69E387CC" w:rsidR="005F5912" w:rsidRPr="005F5912" w:rsidRDefault="005F5912" w:rsidP="005F5912">
      <w:pPr>
        <w:spacing w:before="140" w:after="0" w:line="276" w:lineRule="auto"/>
        <w:jc w:val="both"/>
        <w:rPr>
          <w:rFonts w:eastAsia="Times New Roman" w:cs="Tahoma"/>
          <w:lang w:eastAsia="it-IT"/>
        </w:rPr>
      </w:pPr>
      <w:r w:rsidRPr="005F5912">
        <w:rPr>
          <w:rFonts w:eastAsia="Times New Roman" w:cs="Tahoma"/>
          <w:lang w:eastAsia="it-IT"/>
        </w:rPr>
        <w:t>All'udienza le parti possono fare osservazioni circa l'assegnazione e circa il tempo e le modalità della vendita, e debbono proporre, a pena di </w:t>
      </w:r>
      <w:hyperlink r:id="rId8" w:tooltip="Dizionario Giuridico: Decadenza" w:history="1">
        <w:r w:rsidRPr="005F5912">
          <w:rPr>
            <w:rFonts w:eastAsia="Times New Roman" w:cs="Tahoma"/>
            <w:u w:val="single"/>
            <w:lang w:eastAsia="it-IT"/>
          </w:rPr>
          <w:t>decadenza</w:t>
        </w:r>
      </w:hyperlink>
      <w:r w:rsidRPr="005F5912">
        <w:rPr>
          <w:rFonts w:eastAsia="Times New Roman" w:cs="Tahoma"/>
          <w:lang w:eastAsia="it-IT"/>
        </w:rPr>
        <w:t>, le </w:t>
      </w:r>
      <w:hyperlink r:id="rId9" w:tooltip="Dizionario Giuridico: Opposizione agli atti esecutivi" w:history="1">
        <w:r w:rsidRPr="005F5912">
          <w:rPr>
            <w:rFonts w:eastAsia="Times New Roman" w:cs="Tahoma"/>
            <w:u w:val="single"/>
            <w:lang w:eastAsia="it-IT"/>
          </w:rPr>
          <w:t>opposizioni agli atti esecutivi</w:t>
        </w:r>
      </w:hyperlink>
      <w:r w:rsidRPr="005F5912">
        <w:rPr>
          <w:rFonts w:eastAsia="Times New Roman" w:cs="Tahoma"/>
          <w:lang w:eastAsia="it-IT"/>
        </w:rPr>
        <w:t>, se non sono già decadute dal diritto di proporle.</w:t>
      </w:r>
    </w:p>
    <w:p w14:paraId="5EDF7479" w14:textId="77777777" w:rsidR="005F5912" w:rsidRPr="005F5912" w:rsidRDefault="005F5912" w:rsidP="005F5912">
      <w:pPr>
        <w:spacing w:before="140" w:after="0" w:line="276" w:lineRule="auto"/>
        <w:jc w:val="both"/>
        <w:rPr>
          <w:rFonts w:eastAsia="Times New Roman" w:cs="Tahoma"/>
          <w:lang w:eastAsia="it-IT"/>
        </w:rPr>
      </w:pPr>
      <w:r w:rsidRPr="005F5912">
        <w:rPr>
          <w:rFonts w:eastAsia="Times New Roman" w:cs="Tahoma"/>
          <w:lang w:eastAsia="it-IT"/>
        </w:rPr>
        <w:t>Se non vi sono opposizioni o se su di esse si raggiunge l'accordo delle parti comparse, il giudice dell'esecuzione dispone con </w:t>
      </w:r>
      <w:hyperlink r:id="rId10" w:tooltip="Dizionario Giuridico: Ordinanza" w:history="1">
        <w:r w:rsidRPr="005F5912">
          <w:rPr>
            <w:rFonts w:eastAsia="Times New Roman" w:cs="Tahoma"/>
            <w:u w:val="single"/>
            <w:lang w:eastAsia="it-IT"/>
          </w:rPr>
          <w:t>ordinanza</w:t>
        </w:r>
      </w:hyperlink>
      <w:r w:rsidRPr="005F5912">
        <w:rPr>
          <w:rFonts w:eastAsia="Times New Roman" w:cs="Tahoma"/>
          <w:lang w:eastAsia="it-IT"/>
        </w:rPr>
        <w:t> l'assegnazione o la vendita [</w:t>
      </w:r>
      <w:hyperlink r:id="rId11" w:tooltip="Vendita all'incanto" w:history="1">
        <w:r w:rsidRPr="005F5912">
          <w:rPr>
            <w:rFonts w:eastAsia="Times New Roman" w:cs="Tahoma"/>
            <w:u w:val="single"/>
            <w:lang w:eastAsia="it-IT"/>
          </w:rPr>
          <w:t>534</w:t>
        </w:r>
      </w:hyperlink>
      <w:r w:rsidRPr="005F5912">
        <w:rPr>
          <w:rFonts w:eastAsia="Times New Roman" w:cs="Tahoma"/>
          <w:lang w:eastAsia="it-IT"/>
        </w:rPr>
        <w:t>, </w:t>
      </w:r>
      <w:hyperlink r:id="rId12" w:tooltip="Prezzo base dell'incanto" w:history="1">
        <w:r w:rsidRPr="005F5912">
          <w:rPr>
            <w:rFonts w:eastAsia="Times New Roman" w:cs="Tahoma"/>
            <w:u w:val="single"/>
            <w:lang w:eastAsia="it-IT"/>
          </w:rPr>
          <w:t>535</w:t>
        </w:r>
      </w:hyperlink>
      <w:r w:rsidRPr="005F5912">
        <w:rPr>
          <w:rFonts w:eastAsia="Times New Roman" w:cs="Tahoma"/>
          <w:lang w:eastAsia="it-IT"/>
        </w:rPr>
        <w:t>; disp. att. 162].</w:t>
      </w:r>
    </w:p>
    <w:p w14:paraId="3D842831" w14:textId="77777777" w:rsidR="005F5912" w:rsidRPr="005F5912" w:rsidRDefault="005F5912" w:rsidP="005F5912">
      <w:pPr>
        <w:spacing w:before="140" w:after="0" w:line="276" w:lineRule="auto"/>
        <w:jc w:val="both"/>
        <w:rPr>
          <w:rFonts w:eastAsia="Times New Roman" w:cs="Tahoma"/>
          <w:lang w:eastAsia="it-IT"/>
        </w:rPr>
      </w:pPr>
      <w:r w:rsidRPr="005F5912">
        <w:rPr>
          <w:rFonts w:eastAsia="Times New Roman" w:cs="Tahoma"/>
          <w:lang w:eastAsia="it-IT"/>
        </w:rPr>
        <w:t>Se vi sono opposizioni il giudice dell'esecuzione le decide con sentenza e dispone con ordinanza l'assegnazione o la vendita.</w:t>
      </w:r>
    </w:p>
    <w:p w14:paraId="1206A3C4" w14:textId="46F4B9B3" w:rsidR="005F5912" w:rsidRPr="005F5912" w:rsidRDefault="005F5912" w:rsidP="005F5912">
      <w:pPr>
        <w:spacing w:before="140" w:after="0" w:line="276" w:lineRule="auto"/>
        <w:jc w:val="both"/>
        <w:rPr>
          <w:rFonts w:eastAsia="Times New Roman" w:cs="Tahoma"/>
          <w:lang w:eastAsia="it-IT"/>
        </w:rPr>
      </w:pPr>
      <w:r w:rsidRPr="005F5912">
        <w:rPr>
          <w:rFonts w:eastAsia="Times New Roman" w:cs="Tahoma"/>
          <w:lang w:eastAsia="it-IT"/>
        </w:rPr>
        <w:t>Qualora ricorra l'ipotesi prevista dal terzo comma dell'articolo </w:t>
      </w:r>
      <w:hyperlink r:id="rId13" w:tooltip="Condizione e tempo dell'intervento" w:history="1">
        <w:r w:rsidRPr="005F5912">
          <w:rPr>
            <w:rFonts w:eastAsia="Times New Roman" w:cs="Tahoma"/>
            <w:u w:val="single"/>
            <w:lang w:eastAsia="it-IT"/>
          </w:rPr>
          <w:t>525</w:t>
        </w:r>
      </w:hyperlink>
      <w:r w:rsidRPr="005F5912">
        <w:rPr>
          <w:rFonts w:eastAsia="Times New Roman" w:cs="Tahoma"/>
          <w:lang w:eastAsia="it-IT"/>
        </w:rPr>
        <w:t>, e non siano intervenuti creditori fino alla presentazione del ricorso, il giudice dell'esecuzione provvederà con </w:t>
      </w:r>
      <w:hyperlink r:id="rId14" w:tooltip="Dizionario Giuridico: Decreto" w:history="1">
        <w:r w:rsidRPr="005F5912">
          <w:rPr>
            <w:rFonts w:eastAsia="Times New Roman" w:cs="Tahoma"/>
            <w:u w:val="single"/>
            <w:lang w:eastAsia="it-IT"/>
          </w:rPr>
          <w:t>decreto</w:t>
        </w:r>
      </w:hyperlink>
      <w:r w:rsidRPr="005F5912">
        <w:rPr>
          <w:rFonts w:eastAsia="Times New Roman" w:cs="Tahoma"/>
          <w:lang w:eastAsia="it-IT"/>
        </w:rPr>
        <w:t> per l'assegnazione o la vendita; altrimenti provvederà a norma dei commi precedenti, ma saranno sentiti soltanto i creditori intervenuti nel termine previsto dal terzo comma dell'articolo </w:t>
      </w:r>
      <w:hyperlink r:id="rId15" w:tooltip="Condizione e tempo dell'intervento" w:history="1">
        <w:r w:rsidRPr="005F5912">
          <w:rPr>
            <w:rFonts w:eastAsia="Times New Roman" w:cs="Tahoma"/>
            <w:u w:val="single"/>
            <w:lang w:eastAsia="it-IT"/>
          </w:rPr>
          <w:t>525</w:t>
        </w:r>
      </w:hyperlink>
      <w:r w:rsidRPr="005F5912">
        <w:rPr>
          <w:rFonts w:eastAsia="Times New Roman" w:cs="Tahoma"/>
          <w:lang w:eastAsia="it-IT"/>
        </w:rPr>
        <w:t>.</w:t>
      </w:r>
    </w:p>
    <w:p w14:paraId="23C54004" w14:textId="20D679D5" w:rsidR="005F5912" w:rsidRPr="005F5912" w:rsidRDefault="005F5912" w:rsidP="005F5912">
      <w:pPr>
        <w:spacing w:before="140" w:after="0" w:line="276" w:lineRule="auto"/>
        <w:jc w:val="both"/>
        <w:rPr>
          <w:rFonts w:eastAsia="Times New Roman" w:cs="Tahoma"/>
          <w:lang w:eastAsia="it-IT"/>
        </w:rPr>
      </w:pPr>
      <w:r w:rsidRPr="005F5912">
        <w:rPr>
          <w:rFonts w:eastAsia="Times New Roman" w:cs="Tahoma"/>
          <w:lang w:eastAsia="it-IT"/>
        </w:rPr>
        <w:t>Il giudice dell'esecuzione stabilisce che il versamento della cauzione, la presentazione delle offerte, lo svolgimento della gara tra gli offerenti, ai sensi dell'articolo </w:t>
      </w:r>
      <w:hyperlink r:id="rId16" w:tooltip="Cessazione della curatela per accettazione dell'eredità" w:history="1">
        <w:r w:rsidRPr="005F5912">
          <w:rPr>
            <w:rFonts w:eastAsia="Times New Roman" w:cs="Tahoma"/>
            <w:u w:val="single"/>
            <w:lang w:eastAsia="it-IT"/>
          </w:rPr>
          <w:t>532</w:t>
        </w:r>
      </w:hyperlink>
      <w:r w:rsidRPr="005F5912">
        <w:rPr>
          <w:rFonts w:eastAsia="Times New Roman" w:cs="Tahoma"/>
          <w:lang w:eastAsia="it-IT"/>
        </w:rPr>
        <w:t>, nonché il pagamento del prezzo, siano effettuati con modalità telematiche, salvo che le stesse siano pregiudizievoli per gli interessi dei creditori o per il sollecito svolgimento della procedura.</w:t>
      </w:r>
      <w:r w:rsidRPr="005F5912">
        <w:rPr>
          <w:rFonts w:eastAsia="Times New Roman" w:cs="Tahoma"/>
          <w:lang w:eastAsia="it-IT"/>
        </w:rPr>
        <w:t xml:space="preserve"> </w:t>
      </w:r>
    </w:p>
    <w:p w14:paraId="61359A90" w14:textId="664C0C96" w:rsidR="005F5912" w:rsidRPr="005F5912" w:rsidRDefault="005F5912" w:rsidP="005F5912">
      <w:pPr>
        <w:spacing w:before="140" w:after="0" w:line="276" w:lineRule="auto"/>
        <w:jc w:val="both"/>
        <w:rPr>
          <w:rFonts w:eastAsia="Times New Roman" w:cs="Tahoma"/>
          <w:lang w:eastAsia="it-IT"/>
        </w:rPr>
      </w:pPr>
      <w:r w:rsidRPr="005F5912">
        <w:rPr>
          <w:rFonts w:eastAsia="Times New Roman" w:cs="Tahoma"/>
          <w:lang w:eastAsia="it-IT"/>
        </w:rPr>
        <w:t>In ogni caso il giudice dell'esecuzione può disporre che sia effettuata la pubblicità prevista dall'articolo </w:t>
      </w:r>
      <w:hyperlink r:id="rId17" w:tooltip="Effetti del beneficio d'inventario" w:history="1">
        <w:r w:rsidRPr="005F5912">
          <w:rPr>
            <w:rFonts w:eastAsia="Times New Roman" w:cs="Tahoma"/>
            <w:u w:val="single"/>
            <w:lang w:eastAsia="it-IT"/>
          </w:rPr>
          <w:t>490</w:t>
        </w:r>
      </w:hyperlink>
      <w:r w:rsidRPr="005F5912">
        <w:rPr>
          <w:rFonts w:eastAsia="Times New Roman" w:cs="Tahoma"/>
          <w:lang w:eastAsia="it-IT"/>
        </w:rPr>
        <w:t>, secondo comma, almeno dieci giorni prima della scadenza del termine per la presentazione delle offerte o della data dell'incanto. Il giudice dispone che sia sempre effettuata la pubblicità prevista dall’articolo </w:t>
      </w:r>
      <w:hyperlink r:id="rId18" w:tooltip="Effetti del beneficio d'inventario" w:history="1">
        <w:r w:rsidRPr="005F5912">
          <w:rPr>
            <w:rFonts w:eastAsia="Times New Roman" w:cs="Tahoma"/>
            <w:u w:val="single"/>
            <w:lang w:eastAsia="it-IT"/>
          </w:rPr>
          <w:t>490</w:t>
        </w:r>
      </w:hyperlink>
      <w:r w:rsidRPr="005F5912">
        <w:rPr>
          <w:rFonts w:eastAsia="Times New Roman" w:cs="Tahoma"/>
          <w:lang w:eastAsia="it-IT"/>
        </w:rPr>
        <w:t>, primo comma, nel rispetto del termine di cui al periodo precedente</w:t>
      </w:r>
      <w:r>
        <w:rPr>
          <w:rFonts w:eastAsia="Times New Roman" w:cs="Tahoma"/>
          <w:lang w:eastAsia="it-IT"/>
        </w:rPr>
        <w:t>.</w:t>
      </w:r>
    </w:p>
    <w:p w14:paraId="60778098" w14:textId="075C2956" w:rsidR="005F5912" w:rsidRPr="005F5912" w:rsidRDefault="005F5912" w:rsidP="005F5912">
      <w:pPr>
        <w:spacing w:before="140" w:line="276" w:lineRule="auto"/>
        <w:jc w:val="both"/>
        <w:rPr>
          <w:rFonts w:eastAsia="Times New Roman" w:cs="Tahoma"/>
          <w:lang w:eastAsia="it-IT"/>
        </w:rPr>
      </w:pPr>
      <w:r w:rsidRPr="005F5912">
        <w:rPr>
          <w:rFonts w:eastAsia="Times New Roman" w:cs="Tahoma"/>
          <w:lang w:eastAsia="it-IT"/>
        </w:rPr>
        <w:t>Fuori dell’ipotesi prevista dal secondo comma dell’articolo </w:t>
      </w:r>
      <w:hyperlink r:id="rId19" w:tooltip="Condizione e tempo dell'intervento" w:history="1">
        <w:r w:rsidRPr="005F5912">
          <w:rPr>
            <w:rFonts w:eastAsia="Times New Roman" w:cs="Tahoma"/>
            <w:u w:val="single"/>
            <w:lang w:eastAsia="it-IT"/>
          </w:rPr>
          <w:t>525</w:t>
        </w:r>
      </w:hyperlink>
      <w:r w:rsidRPr="005F5912">
        <w:rPr>
          <w:rFonts w:eastAsia="Times New Roman" w:cs="Tahoma"/>
          <w:lang w:eastAsia="it-IT"/>
        </w:rPr>
        <w:t>, il giudice dell’esecuzione può disporre che il versamento del prezzo abbia luogo ratealmente ed entro un termine non superiore a dodici mesi; si applicano, in quanto compatibili, le disposizioni di cui agli articoli </w:t>
      </w:r>
      <w:hyperlink r:id="rId20" w:tooltip="Successione degli ascendenti" w:history="1">
        <w:r w:rsidRPr="005F5912">
          <w:rPr>
            <w:rFonts w:eastAsia="Times New Roman" w:cs="Tahoma"/>
            <w:u w:val="single"/>
            <w:lang w:eastAsia="it-IT"/>
          </w:rPr>
          <w:t>569</w:t>
        </w:r>
      </w:hyperlink>
      <w:r w:rsidRPr="005F5912">
        <w:rPr>
          <w:rFonts w:eastAsia="Times New Roman" w:cs="Tahoma"/>
          <w:lang w:eastAsia="it-IT"/>
        </w:rPr>
        <w:t>, terzo comma, terzo periodo, </w:t>
      </w:r>
      <w:hyperlink r:id="rId21" w:tooltip="Concorso di figli naturali e legittimi" w:history="1">
        <w:r w:rsidRPr="005F5912">
          <w:rPr>
            <w:rFonts w:eastAsia="Times New Roman" w:cs="Tahoma"/>
            <w:u w:val="single"/>
            <w:lang w:eastAsia="it-IT"/>
          </w:rPr>
          <w:t>574</w:t>
        </w:r>
      </w:hyperlink>
      <w:r w:rsidRPr="005F5912">
        <w:rPr>
          <w:rFonts w:eastAsia="Times New Roman" w:cs="Tahoma"/>
          <w:lang w:eastAsia="it-IT"/>
        </w:rPr>
        <w:t>, primo comma, secondo periodo, e </w:t>
      </w:r>
      <w:hyperlink r:id="rId22" w:tooltip="Testamento" w:history="1">
        <w:r w:rsidRPr="005F5912">
          <w:rPr>
            <w:rFonts w:eastAsia="Times New Roman" w:cs="Tahoma"/>
            <w:u w:val="single"/>
            <w:lang w:eastAsia="it-IT"/>
          </w:rPr>
          <w:t>587</w:t>
        </w:r>
      </w:hyperlink>
      <w:r w:rsidRPr="005F5912">
        <w:rPr>
          <w:rFonts w:eastAsia="Times New Roman" w:cs="Tahoma"/>
          <w:lang w:eastAsia="it-IT"/>
        </w:rPr>
        <w:t>, primo comma, secondo periodo</w:t>
      </w:r>
      <w:r>
        <w:rPr>
          <w:rFonts w:eastAsia="Times New Roman" w:cs="Tahoma"/>
          <w:vertAlign w:val="superscript"/>
          <w:lang w:eastAsia="it-IT"/>
        </w:rPr>
        <w:t>.</w:t>
      </w:r>
    </w:p>
    <w:p w14:paraId="636B4994" w14:textId="77777777" w:rsidR="00AB4433" w:rsidRDefault="00AB4433"/>
    <w:sectPr w:rsidR="00AB44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0E02"/>
    <w:multiLevelType w:val="multilevel"/>
    <w:tmpl w:val="20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72"/>
    <w:rsid w:val="005F5912"/>
    <w:rsid w:val="00AB4433"/>
    <w:rsid w:val="00F2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49F3"/>
  <w15:chartTrackingRefBased/>
  <w15:docId w15:val="{FA1C2AB5-6740-4FC5-A413-CADCA82D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F5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F5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F59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591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591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F591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current">
    <w:name w:val="current"/>
    <w:basedOn w:val="Normale"/>
    <w:rsid w:val="005F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F5912"/>
    <w:rPr>
      <w:color w:val="0000FF"/>
      <w:u w:val="single"/>
    </w:rPr>
  </w:style>
  <w:style w:type="paragraph" w:customStyle="1" w:styleId="consulenza">
    <w:name w:val="consulenza"/>
    <w:basedOn w:val="Normale"/>
    <w:rsid w:val="005F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Normale"/>
    <w:rsid w:val="005F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1712">
          <w:marLeft w:val="-420"/>
          <w:marRight w:val="-42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8704">
              <w:marLeft w:val="0"/>
              <w:marRight w:val="0"/>
              <w:marTop w:val="22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34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0111">
                  <w:marLeft w:val="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3551">
                  <w:marLeft w:val="450"/>
                  <w:marRight w:val="4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45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dizionario/3776.html" TargetMode="External"/><Relationship Id="rId13" Type="http://schemas.openxmlformats.org/officeDocument/2006/relationships/hyperlink" Target="https://www.brocardi.it/codice-di-procedura-civile/libro-terzo/titolo-ii/capo-ii/sezione-ii/art525.html" TargetMode="External"/><Relationship Id="rId18" Type="http://schemas.openxmlformats.org/officeDocument/2006/relationships/hyperlink" Target="https://www.brocardi.it/codice-civile/libro-secondo/titolo-i/capo-v/sezione-ii/art49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rocardi.it/codice-civile/libro-secondo/titolo-ii/capo-i/art574.html" TargetMode="External"/><Relationship Id="rId7" Type="http://schemas.openxmlformats.org/officeDocument/2006/relationships/hyperlink" Target="https://www.brocardi.it/codice-di-procedura-civile/libro-terzo/titolo-ii/capo-ii/sezione-iii/art530.html?q=530+cpc&amp;area=codici" TargetMode="External"/><Relationship Id="rId12" Type="http://schemas.openxmlformats.org/officeDocument/2006/relationships/hyperlink" Target="https://www.brocardi.it/codice-di-procedura-civile/libro-terzo/titolo-ii/capo-ii/sezione-iii/art535.html" TargetMode="External"/><Relationship Id="rId17" Type="http://schemas.openxmlformats.org/officeDocument/2006/relationships/hyperlink" Target="https://www.brocardi.it/codice-civile/libro-secondo/titolo-i/capo-v/sezione-ii/art49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rocardi.it/codice-civile/libro-secondo/titolo-i/capo-viii/art532.html" TargetMode="External"/><Relationship Id="rId20" Type="http://schemas.openxmlformats.org/officeDocument/2006/relationships/hyperlink" Target="https://www.brocardi.it/codice-civile/libro-secondo/titolo-ii/capo-i/art56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rocardi.it/dizionario/3566.html" TargetMode="External"/><Relationship Id="rId11" Type="http://schemas.openxmlformats.org/officeDocument/2006/relationships/hyperlink" Target="https://www.brocardi.it/codice-di-procedura-civile/libro-terzo/titolo-ii/capo-ii/sezione-iii/art534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rocardi.it/codice-di-procedura-civile/libro-terzo/titolo-ii/capo-ii/sezione-iii/art530.html?q=530+cpc&amp;area=codici" TargetMode="External"/><Relationship Id="rId15" Type="http://schemas.openxmlformats.org/officeDocument/2006/relationships/hyperlink" Target="https://www.brocardi.it/codice-di-procedura-civile/libro-terzo/titolo-ii/capo-ii/sezione-ii/art525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rocardi.it/dizionario/3763.html" TargetMode="External"/><Relationship Id="rId19" Type="http://schemas.openxmlformats.org/officeDocument/2006/relationships/hyperlink" Target="https://www.brocardi.it/codice-di-procedura-civile/libro-terzo/titolo-ii/capo-ii/sezione-ii/art5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ocardi.it/dizionario/4246.html" TargetMode="External"/><Relationship Id="rId14" Type="http://schemas.openxmlformats.org/officeDocument/2006/relationships/hyperlink" Target="https://www.brocardi.it/dizionario/3764.html" TargetMode="External"/><Relationship Id="rId22" Type="http://schemas.openxmlformats.org/officeDocument/2006/relationships/hyperlink" Target="https://www.brocardi.it/codice-civile/libro-secondo/titolo-iii/capo-i/art587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D'Amico Dorotea</dc:creator>
  <cp:keywords/>
  <dc:description/>
  <cp:lastModifiedBy>D'Amico Dorotea</cp:lastModifiedBy>
  <cp:revision>2</cp:revision>
  <dcterms:created xsi:type="dcterms:W3CDTF">2021-06-15T07:52:00Z</dcterms:created>
  <dcterms:modified xsi:type="dcterms:W3CDTF">2021-06-15T07:54:00Z</dcterms:modified>
</cp:coreProperties>
</file>