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DCEE" w14:textId="2BE12032" w:rsidR="00471739" w:rsidRPr="00471739" w:rsidRDefault="00471739" w:rsidP="00471739">
      <w:pPr>
        <w:spacing w:after="0" w:line="315" w:lineRule="atLeast"/>
        <w:jc w:val="center"/>
        <w:outlineLvl w:val="0"/>
        <w:rPr>
          <w:rFonts w:eastAsia="Times New Roman" w:cs="Tahoma"/>
          <w:b/>
          <w:bCs/>
          <w:lang w:eastAsia="it-IT"/>
        </w:rPr>
      </w:pPr>
      <w:r w:rsidRPr="00471739">
        <w:rPr>
          <w:rFonts w:eastAsia="Times New Roman" w:cs="Tahoma"/>
          <w:b/>
          <w:bCs/>
          <w:kern w:val="36"/>
          <w:lang w:eastAsia="it-IT"/>
        </w:rPr>
        <w:t>Articolo 169 sexies Disposizioni di attuazione del codice di procedura civile</w:t>
      </w:r>
      <w:r>
        <w:rPr>
          <w:rFonts w:eastAsia="Times New Roman" w:cs="Tahoma"/>
          <w:b/>
          <w:bCs/>
          <w:kern w:val="36"/>
          <w:lang w:eastAsia="it-IT"/>
        </w:rPr>
        <w:t xml:space="preserve"> </w:t>
      </w:r>
    </w:p>
    <w:p w14:paraId="4A69392B" w14:textId="77777777" w:rsidR="00471739" w:rsidRPr="00471739" w:rsidRDefault="00471739" w:rsidP="00471739">
      <w:pPr>
        <w:spacing w:line="390" w:lineRule="atLeast"/>
        <w:jc w:val="center"/>
        <w:outlineLvl w:val="2"/>
        <w:rPr>
          <w:rFonts w:eastAsia="Times New Roman" w:cs="Tahoma"/>
          <w:b/>
          <w:bCs/>
          <w:lang w:eastAsia="it-IT"/>
        </w:rPr>
      </w:pPr>
      <w:r w:rsidRPr="00471739">
        <w:rPr>
          <w:rFonts w:eastAsia="Times New Roman" w:cs="Tahoma"/>
          <w:b/>
          <w:bCs/>
          <w:lang w:eastAsia="it-IT"/>
        </w:rPr>
        <w:t>Elenco dei soggetti specializzati per la custodia e la vendita dei mobili pignorati</w:t>
      </w:r>
    </w:p>
    <w:p w14:paraId="1C38A66D" w14:textId="769CEC9C" w:rsidR="00471739" w:rsidRPr="00471739" w:rsidRDefault="00471739" w:rsidP="00471739">
      <w:pPr>
        <w:spacing w:after="0" w:line="240" w:lineRule="auto"/>
        <w:rPr>
          <w:rFonts w:eastAsia="Times New Roman" w:cs="Times New Roman"/>
          <w:lang w:eastAsia="it-IT"/>
        </w:rPr>
      </w:pPr>
      <w:bookmarkStart w:id="0" w:name="dispositivo"/>
      <w:bookmarkEnd w:id="0"/>
    </w:p>
    <w:p w14:paraId="445558B9" w14:textId="77777777" w:rsidR="00471739" w:rsidRPr="00471739" w:rsidRDefault="00471739" w:rsidP="00471739">
      <w:pPr>
        <w:spacing w:line="276" w:lineRule="auto"/>
        <w:jc w:val="both"/>
        <w:rPr>
          <w:rFonts w:eastAsia="Times New Roman" w:cs="Tahoma"/>
          <w:lang w:eastAsia="it-IT"/>
        </w:rPr>
      </w:pPr>
      <w:r w:rsidRPr="00471739">
        <w:rPr>
          <w:rFonts w:eastAsia="Times New Roman" w:cs="Tahoma"/>
          <w:lang w:eastAsia="it-IT"/>
        </w:rPr>
        <w:t>Presso ogni </w:t>
      </w:r>
      <w:hyperlink r:id="rId5" w:tooltip="Dizionario Giuridico: Tribunale" w:history="1">
        <w:r w:rsidRPr="00471739">
          <w:rPr>
            <w:rFonts w:eastAsia="Times New Roman" w:cs="Tahoma"/>
            <w:u w:val="single"/>
            <w:lang w:eastAsia="it-IT"/>
          </w:rPr>
          <w:t>tribunale</w:t>
        </w:r>
      </w:hyperlink>
      <w:r w:rsidRPr="00471739">
        <w:rPr>
          <w:rFonts w:eastAsia="Times New Roman" w:cs="Tahoma"/>
          <w:lang w:eastAsia="it-IT"/>
        </w:rPr>
        <w:t> è istituito un elenco dei soggetti specializzati di cui all'articolo </w:t>
      </w:r>
      <w:hyperlink r:id="rId6" w:tooltip="Vendita a mezzo di commissionario" w:history="1">
        <w:r w:rsidRPr="00471739">
          <w:rPr>
            <w:rFonts w:eastAsia="Times New Roman" w:cs="Tahoma"/>
            <w:u w:val="single"/>
            <w:lang w:eastAsia="it-IT"/>
          </w:rPr>
          <w:t>532</w:t>
        </w:r>
      </w:hyperlink>
      <w:r w:rsidRPr="00471739">
        <w:rPr>
          <w:rFonts w:eastAsia="Times New Roman" w:cs="Tahoma"/>
          <w:lang w:eastAsia="it-IT"/>
        </w:rPr>
        <w:t> del codice per la custodia e la vendita dei beni mobili pignorati. Alle domande di iscrizione all'elenco è allegata la documentazione comprovante le competenze maturate, anche relativamente a specifiche categorie di beni. L'elenco è formato dal </w:t>
      </w:r>
      <w:hyperlink r:id="rId7" w:tooltip="Dizionario Giuridico: Presidente del tribunale" w:history="1">
        <w:r w:rsidRPr="00471739">
          <w:rPr>
            <w:rFonts w:eastAsia="Times New Roman" w:cs="Tahoma"/>
            <w:u w:val="single"/>
            <w:lang w:eastAsia="it-IT"/>
          </w:rPr>
          <w:t>presidente del tribunale</w:t>
        </w:r>
      </w:hyperlink>
      <w:r w:rsidRPr="00471739">
        <w:rPr>
          <w:rFonts w:eastAsia="Times New Roman" w:cs="Tahoma"/>
          <w:lang w:eastAsia="it-IT"/>
        </w:rPr>
        <w:t>, che provvede sentito il </w:t>
      </w:r>
      <w:hyperlink r:id="rId8" w:tooltip="Dizionario Giuridico: Procuratore della Repubblica" w:history="1">
        <w:r w:rsidRPr="00471739">
          <w:rPr>
            <w:rFonts w:eastAsia="Times New Roman" w:cs="Tahoma"/>
            <w:u w:val="single"/>
            <w:lang w:eastAsia="it-IT"/>
          </w:rPr>
          <w:t>procuratore della Repubblica</w:t>
        </w:r>
      </w:hyperlink>
      <w:r w:rsidRPr="00471739">
        <w:rPr>
          <w:rFonts w:eastAsia="Times New Roman" w:cs="Tahoma"/>
          <w:lang w:eastAsia="it-IT"/>
        </w:rPr>
        <w:t>. Si applicano gli articoli </w:t>
      </w:r>
      <w:hyperlink r:id="rId9" w:tooltip="Albo dei consulenti tecnici" w:history="1">
        <w:r w:rsidRPr="00471739">
          <w:rPr>
            <w:rFonts w:eastAsia="Times New Roman" w:cs="Tahoma"/>
            <w:u w:val="single"/>
            <w:lang w:eastAsia="it-IT"/>
          </w:rPr>
          <w:t>13</w:t>
        </w:r>
      </w:hyperlink>
      <w:r w:rsidRPr="00471739">
        <w:rPr>
          <w:rFonts w:eastAsia="Times New Roman" w:cs="Tahoma"/>
          <w:lang w:eastAsia="it-IT"/>
        </w:rPr>
        <w:t> e seguenti in quanto compatibili.</w:t>
      </w:r>
    </w:p>
    <w:p w14:paraId="161E5728" w14:textId="77777777" w:rsidR="00AB4433" w:rsidRPr="00471739" w:rsidRDefault="00AB4433" w:rsidP="00471739"/>
    <w:sectPr w:rsidR="00AB4433" w:rsidRPr="00471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CAD"/>
    <w:multiLevelType w:val="multilevel"/>
    <w:tmpl w:val="B984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C6"/>
    <w:rsid w:val="000163C6"/>
    <w:rsid w:val="00471739"/>
    <w:rsid w:val="00A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D163"/>
  <w15:chartTrackingRefBased/>
  <w15:docId w15:val="{CEDB7F05-43E7-4227-A9F3-E2BFBD8E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1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71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71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73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7173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173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urrent">
    <w:name w:val="current"/>
    <w:basedOn w:val="Normale"/>
    <w:rsid w:val="0047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sulenza">
    <w:name w:val="consulenza"/>
    <w:basedOn w:val="Normale"/>
    <w:rsid w:val="0047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71739"/>
    <w:rPr>
      <w:color w:val="0000FF"/>
      <w:u w:val="single"/>
    </w:rPr>
  </w:style>
  <w:style w:type="paragraph" w:customStyle="1" w:styleId="comma">
    <w:name w:val="comma"/>
    <w:basedOn w:val="Normale"/>
    <w:rsid w:val="0047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51">
          <w:marLeft w:val="-420"/>
          <w:marRight w:val="-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8346">
              <w:marLeft w:val="0"/>
              <w:marRight w:val="0"/>
              <w:marTop w:val="2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5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1883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1076">
                  <w:marLeft w:val="45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65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526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ocardi.it/dizionario/18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cardi.it/codice-di-procedura-civile/libro-terzo/titolo-ii/capo-ii/sezione-iii/art53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rocardi.it/dizionario/358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ocardi.it/disposizioni-per-attuazione-codice-procedura-civile/titolo-ii/capo-ii/sezione-i/art13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2</cp:revision>
  <dcterms:created xsi:type="dcterms:W3CDTF">2021-06-15T07:48:00Z</dcterms:created>
  <dcterms:modified xsi:type="dcterms:W3CDTF">2021-06-15T07:49:00Z</dcterms:modified>
</cp:coreProperties>
</file>