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7BFB" w14:textId="7D704C73" w:rsidR="00DA32BD" w:rsidRPr="00DA32BD" w:rsidRDefault="00DA32BD" w:rsidP="00DA32BD">
      <w:pPr>
        <w:shd w:val="clear" w:color="auto" w:fill="FFFFFF"/>
        <w:spacing w:after="0" w:line="315" w:lineRule="atLeast"/>
        <w:jc w:val="center"/>
        <w:outlineLvl w:val="0"/>
        <w:rPr>
          <w:rFonts w:eastAsia="Times New Roman" w:cstheme="minorHAnsi"/>
          <w:b/>
          <w:bCs/>
          <w:kern w:val="36"/>
          <w:lang w:eastAsia="it-IT"/>
        </w:rPr>
      </w:pPr>
      <w:r w:rsidRPr="00DA32BD">
        <w:rPr>
          <w:rFonts w:eastAsia="Times New Roman" w:cstheme="minorHAnsi"/>
          <w:b/>
          <w:bCs/>
          <w:kern w:val="36"/>
          <w:lang w:eastAsia="it-IT"/>
        </w:rPr>
        <w:t>Articolo 104 ter Legge fallimentare</w:t>
      </w:r>
      <w:r>
        <w:rPr>
          <w:rFonts w:eastAsia="Times New Roman" w:cstheme="minorHAnsi"/>
          <w:b/>
          <w:bCs/>
          <w:kern w:val="36"/>
          <w:lang w:eastAsia="it-IT"/>
        </w:rPr>
        <w:t xml:space="preserve"> </w:t>
      </w:r>
      <w:r w:rsidRPr="00DA32BD">
        <w:rPr>
          <w:rFonts w:eastAsia="Times New Roman" w:cstheme="minorHAnsi"/>
          <w:b/>
          <w:bCs/>
          <w:lang w:eastAsia="it-IT"/>
        </w:rPr>
        <w:t>(R.D. 16 marzo 1942, n. 267)</w:t>
      </w:r>
    </w:p>
    <w:p w14:paraId="1C9A17F6" w14:textId="77777777" w:rsidR="00DA32BD" w:rsidRPr="00DA32BD" w:rsidRDefault="00DA32BD" w:rsidP="00DA32BD">
      <w:pPr>
        <w:shd w:val="clear" w:color="auto" w:fill="FFFFFF"/>
        <w:spacing w:line="390" w:lineRule="atLeast"/>
        <w:jc w:val="center"/>
        <w:outlineLvl w:val="2"/>
        <w:rPr>
          <w:rFonts w:eastAsia="Times New Roman" w:cstheme="minorHAnsi"/>
          <w:b/>
          <w:bCs/>
          <w:lang w:eastAsia="it-IT"/>
        </w:rPr>
      </w:pPr>
      <w:r w:rsidRPr="00DA32BD">
        <w:rPr>
          <w:rFonts w:eastAsia="Times New Roman" w:cstheme="minorHAnsi"/>
          <w:b/>
          <w:bCs/>
          <w:lang w:eastAsia="it-IT"/>
        </w:rPr>
        <w:t>Programma di liquidazione</w:t>
      </w:r>
    </w:p>
    <w:p w14:paraId="2BA3ACBA" w14:textId="27C6D6AB" w:rsidR="00DA32BD" w:rsidRPr="00DA32BD" w:rsidRDefault="00DA32BD" w:rsidP="00DA32BD">
      <w:pPr>
        <w:spacing w:after="0" w:line="276" w:lineRule="auto"/>
        <w:jc w:val="both"/>
        <w:rPr>
          <w:rFonts w:eastAsia="Times New Roman" w:cstheme="minorHAnsi"/>
          <w:lang w:eastAsia="it-IT"/>
        </w:rPr>
      </w:pPr>
      <w:bookmarkStart w:id="0" w:name="dispositivo"/>
      <w:bookmarkEnd w:id="0"/>
      <w:r w:rsidRPr="00DA32BD">
        <w:rPr>
          <w:rFonts w:eastAsia="Times New Roman" w:cstheme="minorHAnsi"/>
          <w:lang w:eastAsia="it-IT"/>
        </w:rPr>
        <w:t>Entro sessanta giorni dalla redazione dell'inventario, e in ogni caso non oltre centottanta giorni dalla sentenza dichiarativa di fallimento, il curatore predispone un programma di liquidazione da sottoporre all’approvazione del comitato dei creditori. Il mancato rispetto del termine di centottanta giorni di cui al primo periodo senza giustificato motivo è giusta causa di revoca del curatore.</w:t>
      </w:r>
    </w:p>
    <w:p w14:paraId="41261617"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Il programma costituisce l’atto di pianificazione e di indirizzo in ordine alle modalità e ai termini previsti per la realizzazione dell'attivo, e deve specificare:</w:t>
      </w:r>
    </w:p>
    <w:p w14:paraId="6D2A44DF" w14:textId="77777777" w:rsidR="00DA32BD" w:rsidRPr="00DA32BD" w:rsidRDefault="00DA32BD" w:rsidP="00DA32BD">
      <w:pPr>
        <w:spacing w:after="0" w:line="276" w:lineRule="auto"/>
        <w:jc w:val="both"/>
        <w:rPr>
          <w:rFonts w:eastAsia="Times New Roman" w:cstheme="minorHAnsi"/>
          <w:lang w:eastAsia="it-IT"/>
        </w:rPr>
      </w:pPr>
      <w:r w:rsidRPr="00DA32BD">
        <w:rPr>
          <w:rFonts w:eastAsia="Times New Roman" w:cstheme="minorHAnsi"/>
          <w:lang w:eastAsia="it-IT"/>
        </w:rPr>
        <w:t>a) l’opportunità di disporre l'esercizio provvisorio dell'impresa, o di singoli rami di azienda, ai sensi dell’articolo 104, ovvero l’opportunità di autorizzare l'affitto dell’azienda, o di rami, a terzi ai sensi dell'articolo 104-bis;</w:t>
      </w:r>
    </w:p>
    <w:p w14:paraId="09A11B06" w14:textId="77777777" w:rsidR="00DA32BD" w:rsidRPr="00DA32BD" w:rsidRDefault="00DA32BD" w:rsidP="00DA32BD">
      <w:pPr>
        <w:spacing w:after="0" w:line="276" w:lineRule="auto"/>
        <w:jc w:val="both"/>
        <w:rPr>
          <w:rFonts w:eastAsia="Times New Roman" w:cstheme="minorHAnsi"/>
          <w:lang w:eastAsia="it-IT"/>
        </w:rPr>
      </w:pPr>
      <w:r w:rsidRPr="00DA32BD">
        <w:rPr>
          <w:rFonts w:eastAsia="Times New Roman" w:cstheme="minorHAnsi"/>
          <w:lang w:eastAsia="it-IT"/>
        </w:rPr>
        <w:t>b) la sussistenza di proposte di concordato ed il loro contenuto;</w:t>
      </w:r>
    </w:p>
    <w:p w14:paraId="049659F9" w14:textId="77777777" w:rsidR="00DA32BD" w:rsidRPr="00DA32BD" w:rsidRDefault="00DA32BD" w:rsidP="00DA32BD">
      <w:pPr>
        <w:spacing w:after="0" w:line="276" w:lineRule="auto"/>
        <w:jc w:val="both"/>
        <w:rPr>
          <w:rFonts w:eastAsia="Times New Roman" w:cstheme="minorHAnsi"/>
          <w:lang w:eastAsia="it-IT"/>
        </w:rPr>
      </w:pPr>
      <w:r w:rsidRPr="00DA32BD">
        <w:rPr>
          <w:rFonts w:eastAsia="Times New Roman" w:cstheme="minorHAnsi"/>
          <w:lang w:eastAsia="it-IT"/>
        </w:rPr>
        <w:t>c) le azioni risarcitorie, recuperatorie o revocatorie da esercitare ed il loro possibile esito;</w:t>
      </w:r>
    </w:p>
    <w:p w14:paraId="1706600E" w14:textId="77777777" w:rsidR="00DA32BD" w:rsidRPr="00DA32BD" w:rsidRDefault="00DA32BD" w:rsidP="00DA32BD">
      <w:pPr>
        <w:spacing w:after="0" w:line="276" w:lineRule="auto"/>
        <w:jc w:val="both"/>
        <w:rPr>
          <w:rFonts w:eastAsia="Times New Roman" w:cstheme="minorHAnsi"/>
          <w:lang w:eastAsia="it-IT"/>
        </w:rPr>
      </w:pPr>
      <w:r w:rsidRPr="00DA32BD">
        <w:rPr>
          <w:rFonts w:eastAsia="Times New Roman" w:cstheme="minorHAnsi"/>
          <w:lang w:eastAsia="it-IT"/>
        </w:rPr>
        <w:t>d) le possibilità di cessione unitaria dell'azienda, di singoli rami, di beni o di rapporti giuridici individuabili in blocco;</w:t>
      </w:r>
    </w:p>
    <w:p w14:paraId="6A9FAE35" w14:textId="77777777" w:rsidR="00DA32BD" w:rsidRPr="00DA32BD" w:rsidRDefault="00DA32BD" w:rsidP="00DA32BD">
      <w:pPr>
        <w:spacing w:after="0" w:line="276" w:lineRule="auto"/>
        <w:jc w:val="both"/>
        <w:rPr>
          <w:rFonts w:eastAsia="Times New Roman" w:cstheme="minorHAnsi"/>
          <w:lang w:eastAsia="it-IT"/>
        </w:rPr>
      </w:pPr>
      <w:r w:rsidRPr="00DA32BD">
        <w:rPr>
          <w:rFonts w:eastAsia="Times New Roman" w:cstheme="minorHAnsi"/>
          <w:lang w:eastAsia="it-IT"/>
        </w:rPr>
        <w:t>e) le condizioni della vendita dei singoli cespiti;</w:t>
      </w:r>
    </w:p>
    <w:p w14:paraId="0AEB1F25" w14:textId="77777777" w:rsidR="00DA32BD" w:rsidRPr="00DA32BD" w:rsidRDefault="00DA32BD" w:rsidP="00DA32BD">
      <w:pPr>
        <w:spacing w:after="0" w:line="276" w:lineRule="auto"/>
        <w:jc w:val="both"/>
        <w:rPr>
          <w:rFonts w:eastAsia="Times New Roman" w:cstheme="minorHAnsi"/>
          <w:lang w:eastAsia="it-IT"/>
        </w:rPr>
      </w:pPr>
      <w:r w:rsidRPr="00DA32BD">
        <w:rPr>
          <w:rFonts w:eastAsia="Times New Roman" w:cstheme="minorHAnsi"/>
          <w:lang w:eastAsia="it-IT"/>
        </w:rPr>
        <w:t>f) il termine entro il quale sarà completata la liquidazione dell'attivo.</w:t>
      </w:r>
    </w:p>
    <w:p w14:paraId="79167387"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Il termine di cui alla lettera f) del precedente comma non può eccedere due anni dal deposito della sentenza di fallimento. Nel caso in cui, limitatamente a determinati cespiti dell'attivo, il curatore ritenga necessario un termine maggiore, egli è tenuto a motivare specificamente in ordine alle ragioni che giustificano tale maggior termine.</w:t>
      </w:r>
    </w:p>
    <w:p w14:paraId="6D5AFEDF"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Il curatore, fermo restando quanto disposto dall'articolo 107, può essere autorizzato dal giudice delegato ad affidare ad altri professionisti o società specializzate alcune incombenze della procedura di liquidazione dell'attivo.</w:t>
      </w:r>
    </w:p>
    <w:p w14:paraId="56F0A287"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Il comitato dei creditori può proporre al curatore modifiche al programma presentato.</w:t>
      </w:r>
    </w:p>
    <w:p w14:paraId="6897F613"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Per sopravvenute esigenze, il curatore può presentare, con le modalità di cui ai commi primo, secondo e terzo, un supplemento del piano di liquidazione.</w:t>
      </w:r>
    </w:p>
    <w:p w14:paraId="28C8195C"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Prima della approvazione del programma, il curatore può procedere alla liquidazione di beni, previa autorizzazione del giudice delegato, sentito il comitato dei creditori se già nominato, solo quando dal ritardo può derivare pregiudizio all'interesse dei creditori.</w:t>
      </w:r>
    </w:p>
    <w:p w14:paraId="1F81ABD3"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Il curatore, previa autorizzazione del comitato dei creditori, può non acquisire all'attivo o rinunciare a liquidare uno o più beni, se l'attività di liquidazione appaia manifestamente non conveniente. In questo caso, il curatore ne dà comunicazione ai creditori i quali, in deroga a quanto previsto nell'articolo 51, possono iniziare azioni esecutive o cautelari sui beni rimessi nella disponibilità del debitore.</w:t>
      </w:r>
    </w:p>
    <w:p w14:paraId="4CA9897B" w14:textId="77777777" w:rsidR="00DA32BD" w:rsidRPr="00DA32BD" w:rsidRDefault="00DA32BD" w:rsidP="00DA32BD">
      <w:pPr>
        <w:spacing w:before="140" w:after="0" w:line="276" w:lineRule="auto"/>
        <w:jc w:val="both"/>
        <w:rPr>
          <w:rFonts w:eastAsia="Times New Roman" w:cstheme="minorHAnsi"/>
          <w:lang w:eastAsia="it-IT"/>
        </w:rPr>
      </w:pPr>
      <w:r w:rsidRPr="00DA32BD">
        <w:rPr>
          <w:rFonts w:eastAsia="Times New Roman" w:cstheme="minorHAnsi"/>
          <w:lang w:eastAsia="it-IT"/>
        </w:rPr>
        <w:t>Il programma approvato è comunicato al giudice delegato che autorizza l’esecuzione degli atti a esso conformi.</w:t>
      </w:r>
    </w:p>
    <w:p w14:paraId="1F0C06A2" w14:textId="77777777" w:rsidR="00DA32BD" w:rsidRPr="00DA32BD" w:rsidRDefault="00DA32BD" w:rsidP="00DA32BD">
      <w:pPr>
        <w:spacing w:before="140" w:line="276" w:lineRule="auto"/>
        <w:jc w:val="both"/>
        <w:rPr>
          <w:rFonts w:eastAsia="Times New Roman" w:cstheme="minorHAnsi"/>
          <w:lang w:eastAsia="it-IT"/>
        </w:rPr>
      </w:pPr>
      <w:r w:rsidRPr="00DA32BD">
        <w:rPr>
          <w:rFonts w:eastAsia="Times New Roman" w:cstheme="minorHAnsi"/>
          <w:lang w:eastAsia="it-IT"/>
        </w:rPr>
        <w:t>Il mancato rispetto dei termini previsti dal programma di liquidazione senza giustificato motivo è giusta causa di revoca del curatore. È altresì giusta causa di revoca, in presenza di somme disponibili per la ripartizione, il mancato rispetto dell'obbligo di cui all'articolo 110 primo comma.</w:t>
      </w:r>
    </w:p>
    <w:p w14:paraId="19ABB513" w14:textId="77777777" w:rsidR="00AB4433" w:rsidRDefault="00AB4433" w:rsidP="00DA32BD">
      <w:pPr>
        <w:spacing w:line="276" w:lineRule="auto"/>
      </w:pPr>
    </w:p>
    <w:sectPr w:rsidR="00AB44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E6285"/>
    <w:multiLevelType w:val="multilevel"/>
    <w:tmpl w:val="C618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2130E"/>
    <w:multiLevelType w:val="multilevel"/>
    <w:tmpl w:val="5AE813BE"/>
    <w:lvl w:ilvl="0">
      <w:start w:val="1"/>
      <w:numFmt w:val="decimal"/>
      <w:lvlText w:val="%1."/>
      <w:lvlJc w:val="left"/>
      <w:pPr>
        <w:tabs>
          <w:tab w:val="num" w:pos="1120"/>
        </w:tabs>
        <w:ind w:left="1120" w:hanging="360"/>
      </w:pPr>
    </w:lvl>
    <w:lvl w:ilvl="1" w:tentative="1">
      <w:start w:val="1"/>
      <w:numFmt w:val="decimal"/>
      <w:lvlText w:val="%2."/>
      <w:lvlJc w:val="left"/>
      <w:pPr>
        <w:tabs>
          <w:tab w:val="num" w:pos="1840"/>
        </w:tabs>
        <w:ind w:left="1840" w:hanging="360"/>
      </w:pPr>
    </w:lvl>
    <w:lvl w:ilvl="2" w:tentative="1">
      <w:start w:val="1"/>
      <w:numFmt w:val="decimal"/>
      <w:lvlText w:val="%3."/>
      <w:lvlJc w:val="left"/>
      <w:pPr>
        <w:tabs>
          <w:tab w:val="num" w:pos="2560"/>
        </w:tabs>
        <w:ind w:left="2560" w:hanging="360"/>
      </w:pPr>
    </w:lvl>
    <w:lvl w:ilvl="3" w:tentative="1">
      <w:start w:val="1"/>
      <w:numFmt w:val="decimal"/>
      <w:lvlText w:val="%4."/>
      <w:lvlJc w:val="left"/>
      <w:pPr>
        <w:tabs>
          <w:tab w:val="num" w:pos="3280"/>
        </w:tabs>
        <w:ind w:left="3280" w:hanging="360"/>
      </w:pPr>
    </w:lvl>
    <w:lvl w:ilvl="4" w:tentative="1">
      <w:start w:val="1"/>
      <w:numFmt w:val="decimal"/>
      <w:lvlText w:val="%5."/>
      <w:lvlJc w:val="left"/>
      <w:pPr>
        <w:tabs>
          <w:tab w:val="num" w:pos="4000"/>
        </w:tabs>
        <w:ind w:left="4000" w:hanging="360"/>
      </w:pPr>
    </w:lvl>
    <w:lvl w:ilvl="5" w:tentative="1">
      <w:start w:val="1"/>
      <w:numFmt w:val="decimal"/>
      <w:lvlText w:val="%6."/>
      <w:lvlJc w:val="left"/>
      <w:pPr>
        <w:tabs>
          <w:tab w:val="num" w:pos="4720"/>
        </w:tabs>
        <w:ind w:left="4720" w:hanging="360"/>
      </w:pPr>
    </w:lvl>
    <w:lvl w:ilvl="6" w:tentative="1">
      <w:start w:val="1"/>
      <w:numFmt w:val="decimal"/>
      <w:lvlText w:val="%7."/>
      <w:lvlJc w:val="left"/>
      <w:pPr>
        <w:tabs>
          <w:tab w:val="num" w:pos="5440"/>
        </w:tabs>
        <w:ind w:left="5440" w:hanging="360"/>
      </w:pPr>
    </w:lvl>
    <w:lvl w:ilvl="7" w:tentative="1">
      <w:start w:val="1"/>
      <w:numFmt w:val="decimal"/>
      <w:lvlText w:val="%8."/>
      <w:lvlJc w:val="left"/>
      <w:pPr>
        <w:tabs>
          <w:tab w:val="num" w:pos="6160"/>
        </w:tabs>
        <w:ind w:left="6160" w:hanging="360"/>
      </w:pPr>
    </w:lvl>
    <w:lvl w:ilvl="8" w:tentative="1">
      <w:start w:val="1"/>
      <w:numFmt w:val="decimal"/>
      <w:lvlText w:val="%9."/>
      <w:lvlJc w:val="left"/>
      <w:pPr>
        <w:tabs>
          <w:tab w:val="num" w:pos="6880"/>
        </w:tabs>
        <w:ind w:left="6880" w:hanging="360"/>
      </w:pPr>
    </w:lvl>
  </w:abstractNum>
  <w:abstractNum w:abstractNumId="2" w15:restartNumberingAfterBreak="0">
    <w:nsid w:val="6AC6007C"/>
    <w:multiLevelType w:val="multilevel"/>
    <w:tmpl w:val="98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7"/>
    <w:rsid w:val="004D35C7"/>
    <w:rsid w:val="00AB4433"/>
    <w:rsid w:val="00DA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0B25"/>
  <w15:chartTrackingRefBased/>
  <w15:docId w15:val="{A447C339-89FE-4C72-9320-8A086CA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DA3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A32B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DA32B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32B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A32B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A32BD"/>
    <w:rPr>
      <w:rFonts w:ascii="Times New Roman" w:eastAsia="Times New Roman" w:hAnsi="Times New Roman" w:cs="Times New Roman"/>
      <w:b/>
      <w:bCs/>
      <w:sz w:val="27"/>
      <w:szCs w:val="27"/>
      <w:lang w:eastAsia="it-IT"/>
    </w:rPr>
  </w:style>
  <w:style w:type="paragraph" w:customStyle="1" w:styleId="current">
    <w:name w:val="current"/>
    <w:basedOn w:val="Normale"/>
    <w:rsid w:val="00DA32B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A32BD"/>
    <w:rPr>
      <w:color w:val="0000FF"/>
      <w:u w:val="single"/>
    </w:rPr>
  </w:style>
  <w:style w:type="paragraph" w:customStyle="1" w:styleId="consulenza">
    <w:name w:val="consulenza"/>
    <w:basedOn w:val="Normale"/>
    <w:rsid w:val="00DA32B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DA32B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7967">
      <w:bodyDiv w:val="1"/>
      <w:marLeft w:val="0"/>
      <w:marRight w:val="0"/>
      <w:marTop w:val="0"/>
      <w:marBottom w:val="0"/>
      <w:divBdr>
        <w:top w:val="none" w:sz="0" w:space="0" w:color="auto"/>
        <w:left w:val="none" w:sz="0" w:space="0" w:color="auto"/>
        <w:bottom w:val="none" w:sz="0" w:space="0" w:color="auto"/>
        <w:right w:val="none" w:sz="0" w:space="0" w:color="auto"/>
      </w:divBdr>
      <w:divsChild>
        <w:div w:id="348525772">
          <w:marLeft w:val="450"/>
          <w:marRight w:val="450"/>
          <w:marTop w:val="0"/>
          <w:marBottom w:val="225"/>
          <w:divBdr>
            <w:top w:val="none" w:sz="0" w:space="0" w:color="auto"/>
            <w:left w:val="none" w:sz="0" w:space="0" w:color="auto"/>
            <w:bottom w:val="none" w:sz="0" w:space="0" w:color="auto"/>
            <w:right w:val="none" w:sz="0" w:space="0" w:color="auto"/>
          </w:divBdr>
        </w:div>
        <w:div w:id="1401295547">
          <w:marLeft w:val="0"/>
          <w:marRight w:val="0"/>
          <w:marTop w:val="0"/>
          <w:marBottom w:val="360"/>
          <w:divBdr>
            <w:top w:val="none" w:sz="0" w:space="0" w:color="auto"/>
            <w:left w:val="none" w:sz="0" w:space="0" w:color="auto"/>
            <w:bottom w:val="none" w:sz="0" w:space="0" w:color="auto"/>
            <w:right w:val="none" w:sz="0" w:space="0" w:color="auto"/>
          </w:divBdr>
        </w:div>
      </w:divsChild>
    </w:div>
    <w:div w:id="326445718">
      <w:bodyDiv w:val="1"/>
      <w:marLeft w:val="0"/>
      <w:marRight w:val="0"/>
      <w:marTop w:val="0"/>
      <w:marBottom w:val="0"/>
      <w:divBdr>
        <w:top w:val="none" w:sz="0" w:space="0" w:color="auto"/>
        <w:left w:val="none" w:sz="0" w:space="0" w:color="auto"/>
        <w:bottom w:val="none" w:sz="0" w:space="0" w:color="auto"/>
        <w:right w:val="none" w:sz="0" w:space="0" w:color="auto"/>
      </w:divBdr>
      <w:divsChild>
        <w:div w:id="864905456">
          <w:marLeft w:val="-420"/>
          <w:marRight w:val="-420"/>
          <w:marTop w:val="0"/>
          <w:marBottom w:val="450"/>
          <w:divBdr>
            <w:top w:val="none" w:sz="0" w:space="0" w:color="auto"/>
            <w:left w:val="none" w:sz="0" w:space="0" w:color="auto"/>
            <w:bottom w:val="none" w:sz="0" w:space="0" w:color="auto"/>
            <w:right w:val="none" w:sz="0" w:space="0" w:color="auto"/>
          </w:divBdr>
          <w:divsChild>
            <w:div w:id="2111005154">
              <w:marLeft w:val="0"/>
              <w:marRight w:val="0"/>
              <w:marTop w:val="225"/>
              <w:marBottom w:val="675"/>
              <w:divBdr>
                <w:top w:val="none" w:sz="0" w:space="0" w:color="auto"/>
                <w:left w:val="none" w:sz="0" w:space="0" w:color="auto"/>
                <w:bottom w:val="none" w:sz="0" w:space="0" w:color="auto"/>
                <w:right w:val="none" w:sz="0" w:space="0" w:color="auto"/>
              </w:divBdr>
            </w:div>
          </w:divsChild>
        </w:div>
        <w:div w:id="693120120">
          <w:marLeft w:val="0"/>
          <w:marRight w:val="0"/>
          <w:marTop w:val="0"/>
          <w:marBottom w:val="0"/>
          <w:divBdr>
            <w:top w:val="none" w:sz="0" w:space="0" w:color="auto"/>
            <w:left w:val="none" w:sz="0" w:space="0" w:color="auto"/>
            <w:bottom w:val="none" w:sz="0" w:space="0" w:color="auto"/>
            <w:right w:val="none" w:sz="0" w:space="0" w:color="auto"/>
          </w:divBdr>
          <w:divsChild>
            <w:div w:id="1696300832">
              <w:marLeft w:val="0"/>
              <w:marRight w:val="0"/>
              <w:marTop w:val="0"/>
              <w:marBottom w:val="900"/>
              <w:divBdr>
                <w:top w:val="none" w:sz="0" w:space="0" w:color="auto"/>
                <w:left w:val="none" w:sz="0" w:space="0" w:color="auto"/>
                <w:bottom w:val="none" w:sz="0" w:space="0" w:color="auto"/>
                <w:right w:val="none" w:sz="0" w:space="0" w:color="auto"/>
              </w:divBdr>
              <w:divsChild>
                <w:div w:id="1321620904">
                  <w:marLeft w:val="0"/>
                  <w:marRight w:val="150"/>
                  <w:marTop w:val="225"/>
                  <w:marBottom w:val="0"/>
                  <w:divBdr>
                    <w:top w:val="none" w:sz="0" w:space="0" w:color="auto"/>
                    <w:left w:val="none" w:sz="0" w:space="0" w:color="auto"/>
                    <w:bottom w:val="none" w:sz="0" w:space="0" w:color="auto"/>
                    <w:right w:val="none" w:sz="0" w:space="0" w:color="auto"/>
                  </w:divBdr>
                </w:div>
                <w:div w:id="847868438">
                  <w:marLeft w:val="450"/>
                  <w:marRight w:val="450"/>
                  <w:marTop w:val="0"/>
                  <w:marBottom w:val="225"/>
                  <w:divBdr>
                    <w:top w:val="none" w:sz="0" w:space="0" w:color="auto"/>
                    <w:left w:val="none" w:sz="0" w:space="0" w:color="auto"/>
                    <w:bottom w:val="none" w:sz="0" w:space="0" w:color="auto"/>
                    <w:right w:val="none" w:sz="0" w:space="0" w:color="auto"/>
                  </w:divBdr>
                </w:div>
                <w:div w:id="12431802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Dorotea</dc:creator>
  <cp:keywords/>
  <dc:description/>
  <cp:lastModifiedBy>D'Amico Dorotea</cp:lastModifiedBy>
  <cp:revision>2</cp:revision>
  <dcterms:created xsi:type="dcterms:W3CDTF">2021-06-14T17:23:00Z</dcterms:created>
  <dcterms:modified xsi:type="dcterms:W3CDTF">2021-06-15T07:46:00Z</dcterms:modified>
</cp:coreProperties>
</file>