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ABC32" w14:textId="77777777" w:rsidR="00924F97" w:rsidRPr="00924F97" w:rsidRDefault="00924F97" w:rsidP="00924F97">
      <w:pPr>
        <w:spacing w:after="0" w:line="276" w:lineRule="auto"/>
        <w:jc w:val="center"/>
        <w:outlineLvl w:val="0"/>
        <w:rPr>
          <w:rFonts w:eastAsia="Times New Roman" w:cstheme="minorHAnsi"/>
          <w:b/>
          <w:bCs/>
          <w:kern w:val="36"/>
          <w:lang w:eastAsia="it-IT"/>
        </w:rPr>
      </w:pPr>
      <w:r w:rsidRPr="00924F97">
        <w:rPr>
          <w:rFonts w:eastAsia="Times New Roman" w:cstheme="minorHAnsi"/>
          <w:b/>
          <w:bCs/>
          <w:kern w:val="36"/>
          <w:lang w:eastAsia="it-IT"/>
        </w:rPr>
        <w:t>Articolo 574 Codice di procedura civile</w:t>
      </w:r>
    </w:p>
    <w:p w14:paraId="0922420E" w14:textId="4002C1F9" w:rsidR="00924F97" w:rsidRPr="00924F97" w:rsidRDefault="00924F97" w:rsidP="00924F97">
      <w:pPr>
        <w:spacing w:line="276" w:lineRule="auto"/>
        <w:jc w:val="center"/>
        <w:outlineLvl w:val="2"/>
        <w:rPr>
          <w:rFonts w:eastAsia="Times New Roman" w:cstheme="minorHAnsi"/>
          <w:b/>
          <w:bCs/>
          <w:lang w:eastAsia="it-IT"/>
        </w:rPr>
      </w:pPr>
      <w:r>
        <w:rPr>
          <w:rFonts w:eastAsia="Times New Roman" w:cstheme="minorHAnsi"/>
          <w:b/>
          <w:bCs/>
          <w:lang w:eastAsia="it-IT"/>
        </w:rPr>
        <w:t>P</w:t>
      </w:r>
      <w:r w:rsidRPr="00924F97">
        <w:rPr>
          <w:rFonts w:eastAsia="Times New Roman" w:cstheme="minorHAnsi"/>
          <w:b/>
          <w:bCs/>
          <w:lang w:eastAsia="it-IT"/>
        </w:rPr>
        <w:t>rovvedimenti relativi alla vendita</w:t>
      </w:r>
    </w:p>
    <w:p w14:paraId="212C0FF8" w14:textId="456384DA" w:rsidR="00924F97" w:rsidRPr="00924F97" w:rsidRDefault="00924F97" w:rsidP="00924F97">
      <w:pPr>
        <w:spacing w:after="0" w:line="276" w:lineRule="auto"/>
        <w:jc w:val="both"/>
        <w:rPr>
          <w:rFonts w:eastAsia="Times New Roman" w:cstheme="minorHAnsi"/>
          <w:lang w:eastAsia="it-IT"/>
        </w:rPr>
      </w:pPr>
      <w:bookmarkStart w:id="0" w:name="dispositivo"/>
      <w:bookmarkEnd w:id="0"/>
      <w:r w:rsidRPr="00924F97">
        <w:rPr>
          <w:rFonts w:eastAsia="Times New Roman" w:cstheme="minorHAnsi"/>
          <w:lang w:eastAsia="it-IT"/>
        </w:rPr>
        <w:br/>
      </w:r>
      <w:r>
        <w:rPr>
          <w:rFonts w:eastAsia="Times New Roman" w:cstheme="minorHAnsi"/>
          <w:lang w:eastAsia="it-IT"/>
        </w:rPr>
        <w:t>i</w:t>
      </w:r>
      <w:r w:rsidRPr="00924F97">
        <w:rPr>
          <w:rFonts w:eastAsia="Times New Roman" w:cstheme="minorHAnsi"/>
          <w:lang w:eastAsia="it-IT"/>
        </w:rPr>
        <w:t>l </w:t>
      </w:r>
      <w:hyperlink r:id="rId5" w:tooltip="Dizionario Giuridico: Giudice dell'esecuzione" w:history="1">
        <w:r w:rsidRPr="00924F97">
          <w:rPr>
            <w:rFonts w:eastAsia="Times New Roman" w:cstheme="minorHAnsi"/>
            <w:u w:val="single"/>
            <w:lang w:eastAsia="it-IT"/>
          </w:rPr>
          <w:t>giudice dell'esecuzione</w:t>
        </w:r>
      </w:hyperlink>
      <w:r w:rsidRPr="00924F97">
        <w:rPr>
          <w:rFonts w:eastAsia="Times New Roman" w:cstheme="minorHAnsi"/>
          <w:lang w:eastAsia="it-IT"/>
        </w:rPr>
        <w:t>, quando fa luogo alla vendita, dispone con decreto il modo del versamento del prezzo e il termine, dalla comunicazione del decreto, entro il quale il versamento deve farsi, e, quando questo è avvenuto, pronuncia il decreto previsto nell'articolo </w:t>
      </w:r>
      <w:hyperlink r:id="rId6" w:tooltip="Acquisto dei beni da parte dello Stato" w:history="1">
        <w:r w:rsidRPr="00924F97">
          <w:rPr>
            <w:rFonts w:eastAsia="Times New Roman" w:cstheme="minorHAnsi"/>
            <w:u w:val="single"/>
            <w:lang w:eastAsia="it-IT"/>
          </w:rPr>
          <w:t>586</w:t>
        </w:r>
      </w:hyperlink>
      <w:r w:rsidRPr="00924F97">
        <w:rPr>
          <w:rFonts w:eastAsia="Times New Roman" w:cstheme="minorHAnsi"/>
          <w:lang w:eastAsia="it-IT"/>
        </w:rPr>
        <w:t>. Quando l’ordinanza che ha disposto la vendita ha previsto che il versamento del prezzo abbia luogo ratealmente, col decreto di cui al primo periodo il giudice dell’esecuzione può autorizzare l’aggiudicatario, che ne faccia richiesta, ad immettersi nel possesso dell’immobile venduto, a condizione che sia prestata una fideiussione, autonoma, irrevocabile e a prima richiesta, rilasciata da banche, società assicuratrici o intermediari finanziari che svolgono in via esclusiva o prevalente attività di rilascio di garanzie e che sono sottoposti a revisione contabile da parte di una società di revisione per un importo pari ad almeno il trenta per cento del prezzo di vendita. Il giudice dell’esecuzione individua la categoria professionale alla quale deve appartenere il soggetto che può rilasciare la fideiussione a norma del periodo precedente. La fideiussione è rilasciata a favore della procedura esecutiva a garanzia del rilascio dell’immobile entro trenta giorni dall’adozione del provvedimento di cui all’articolo </w:t>
      </w:r>
      <w:hyperlink r:id="rId7" w:tooltip="Testamento" w:history="1">
        <w:r w:rsidRPr="00924F97">
          <w:rPr>
            <w:rFonts w:eastAsia="Times New Roman" w:cstheme="minorHAnsi"/>
            <w:u w:val="single"/>
            <w:lang w:eastAsia="it-IT"/>
          </w:rPr>
          <w:t>587</w:t>
        </w:r>
      </w:hyperlink>
      <w:r w:rsidRPr="00924F97">
        <w:rPr>
          <w:rFonts w:eastAsia="Times New Roman" w:cstheme="minorHAnsi"/>
          <w:lang w:eastAsia="it-IT"/>
        </w:rPr>
        <w:t>, primo comma, secondo periodo, nonché del risarcimento dei danni eventualmente arrecati all’immobile; la fideiussione è escussa dal custode o dal professionista delegato su autorizzazione del giudice.</w:t>
      </w:r>
    </w:p>
    <w:p w14:paraId="326D5DAF" w14:textId="77777777" w:rsidR="00924F97" w:rsidRPr="00924F97" w:rsidRDefault="00924F97" w:rsidP="00924F97">
      <w:pPr>
        <w:spacing w:before="140" w:after="0" w:line="276" w:lineRule="auto"/>
        <w:jc w:val="both"/>
        <w:rPr>
          <w:rFonts w:eastAsia="Times New Roman" w:cstheme="minorHAnsi"/>
          <w:lang w:eastAsia="it-IT"/>
        </w:rPr>
      </w:pPr>
      <w:r w:rsidRPr="00924F97">
        <w:rPr>
          <w:rFonts w:eastAsia="Times New Roman" w:cstheme="minorHAnsi"/>
          <w:lang w:eastAsia="it-IT"/>
        </w:rPr>
        <w:t>Si applica anche a questa forma di vendita la disposizione dell'articolo </w:t>
      </w:r>
      <w:hyperlink r:id="rId8" w:tooltip="Successione del solo coniuge" w:history="1">
        <w:r w:rsidRPr="00924F97">
          <w:rPr>
            <w:rFonts w:eastAsia="Times New Roman" w:cstheme="minorHAnsi"/>
            <w:u w:val="single"/>
            <w:lang w:eastAsia="it-IT"/>
          </w:rPr>
          <w:t>583</w:t>
        </w:r>
      </w:hyperlink>
      <w:r w:rsidRPr="00924F97">
        <w:rPr>
          <w:rFonts w:eastAsia="Times New Roman" w:cstheme="minorHAnsi"/>
          <w:lang w:eastAsia="it-IT"/>
        </w:rPr>
        <w:t>.</w:t>
      </w:r>
    </w:p>
    <w:p w14:paraId="28AFCC15" w14:textId="77777777" w:rsidR="00924F97" w:rsidRPr="00924F97" w:rsidRDefault="00924F97" w:rsidP="00924F97">
      <w:pPr>
        <w:spacing w:before="140" w:line="276" w:lineRule="auto"/>
        <w:jc w:val="both"/>
        <w:rPr>
          <w:rFonts w:eastAsia="Times New Roman" w:cstheme="minorHAnsi"/>
          <w:lang w:eastAsia="it-IT"/>
        </w:rPr>
      </w:pPr>
      <w:r w:rsidRPr="00924F97">
        <w:rPr>
          <w:rFonts w:eastAsia="Times New Roman" w:cstheme="minorHAnsi"/>
          <w:lang w:eastAsia="it-IT"/>
        </w:rPr>
        <w:t>Se il prezzo non è depositato a norma del decreto di cui al primo comma, il giudice provvede a norma dell'articolo </w:t>
      </w:r>
      <w:hyperlink r:id="rId9" w:tooltip="Testamento" w:history="1">
        <w:r w:rsidRPr="00924F97">
          <w:rPr>
            <w:rFonts w:eastAsia="Times New Roman" w:cstheme="minorHAnsi"/>
            <w:u w:val="single"/>
            <w:lang w:eastAsia="it-IT"/>
          </w:rPr>
          <w:t>587</w:t>
        </w:r>
      </w:hyperlink>
      <w:r w:rsidRPr="00924F97">
        <w:rPr>
          <w:rFonts w:eastAsia="Times New Roman" w:cstheme="minorHAnsi"/>
          <w:lang w:eastAsia="it-IT"/>
        </w:rPr>
        <w:t>.</w:t>
      </w:r>
    </w:p>
    <w:p w14:paraId="1424270D" w14:textId="77777777" w:rsidR="002B0BED" w:rsidRDefault="002B0BED"/>
    <w:sectPr w:rsidR="002B0BE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312F8"/>
    <w:multiLevelType w:val="multilevel"/>
    <w:tmpl w:val="E1AAD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97F"/>
    <w:rsid w:val="002B0BED"/>
    <w:rsid w:val="00924F97"/>
    <w:rsid w:val="00FA39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EF352"/>
  <w15:chartTrackingRefBased/>
  <w15:docId w15:val="{E6E4E45C-B514-4384-9AF8-E564C4CB8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924F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924F97"/>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924F97"/>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24F97"/>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924F97"/>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924F97"/>
    <w:rPr>
      <w:rFonts w:ascii="Times New Roman" w:eastAsia="Times New Roman" w:hAnsi="Times New Roman" w:cs="Times New Roman"/>
      <w:b/>
      <w:bCs/>
      <w:sz w:val="27"/>
      <w:szCs w:val="27"/>
      <w:lang w:eastAsia="it-IT"/>
    </w:rPr>
  </w:style>
  <w:style w:type="paragraph" w:customStyle="1" w:styleId="current">
    <w:name w:val="current"/>
    <w:basedOn w:val="Normale"/>
    <w:rsid w:val="00924F9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924F97"/>
    <w:rPr>
      <w:color w:val="0000FF"/>
      <w:u w:val="single"/>
    </w:rPr>
  </w:style>
  <w:style w:type="paragraph" w:customStyle="1" w:styleId="consulenza">
    <w:name w:val="consulenza"/>
    <w:basedOn w:val="Normale"/>
    <w:rsid w:val="00924F9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mma">
    <w:name w:val="comma"/>
    <w:basedOn w:val="Normale"/>
    <w:rsid w:val="00924F97"/>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981234">
      <w:bodyDiv w:val="1"/>
      <w:marLeft w:val="0"/>
      <w:marRight w:val="0"/>
      <w:marTop w:val="0"/>
      <w:marBottom w:val="0"/>
      <w:divBdr>
        <w:top w:val="none" w:sz="0" w:space="0" w:color="auto"/>
        <w:left w:val="none" w:sz="0" w:space="0" w:color="auto"/>
        <w:bottom w:val="none" w:sz="0" w:space="0" w:color="auto"/>
        <w:right w:val="none" w:sz="0" w:space="0" w:color="auto"/>
      </w:divBdr>
      <w:divsChild>
        <w:div w:id="700856782">
          <w:marLeft w:val="-420"/>
          <w:marRight w:val="-420"/>
          <w:marTop w:val="0"/>
          <w:marBottom w:val="450"/>
          <w:divBdr>
            <w:top w:val="none" w:sz="0" w:space="0" w:color="auto"/>
            <w:left w:val="none" w:sz="0" w:space="0" w:color="auto"/>
            <w:bottom w:val="none" w:sz="0" w:space="0" w:color="auto"/>
            <w:right w:val="none" w:sz="0" w:space="0" w:color="auto"/>
          </w:divBdr>
          <w:divsChild>
            <w:div w:id="570163358">
              <w:marLeft w:val="0"/>
              <w:marRight w:val="0"/>
              <w:marTop w:val="225"/>
              <w:marBottom w:val="675"/>
              <w:divBdr>
                <w:top w:val="none" w:sz="0" w:space="0" w:color="auto"/>
                <w:left w:val="none" w:sz="0" w:space="0" w:color="auto"/>
                <w:bottom w:val="none" w:sz="0" w:space="0" w:color="auto"/>
                <w:right w:val="none" w:sz="0" w:space="0" w:color="auto"/>
              </w:divBdr>
            </w:div>
          </w:divsChild>
        </w:div>
        <w:div w:id="1341815705">
          <w:marLeft w:val="0"/>
          <w:marRight w:val="0"/>
          <w:marTop w:val="0"/>
          <w:marBottom w:val="0"/>
          <w:divBdr>
            <w:top w:val="none" w:sz="0" w:space="0" w:color="auto"/>
            <w:left w:val="none" w:sz="0" w:space="0" w:color="auto"/>
            <w:bottom w:val="none" w:sz="0" w:space="0" w:color="auto"/>
            <w:right w:val="none" w:sz="0" w:space="0" w:color="auto"/>
          </w:divBdr>
          <w:divsChild>
            <w:div w:id="1926260275">
              <w:marLeft w:val="0"/>
              <w:marRight w:val="0"/>
              <w:marTop w:val="0"/>
              <w:marBottom w:val="900"/>
              <w:divBdr>
                <w:top w:val="none" w:sz="0" w:space="0" w:color="auto"/>
                <w:left w:val="none" w:sz="0" w:space="0" w:color="auto"/>
                <w:bottom w:val="none" w:sz="0" w:space="0" w:color="auto"/>
                <w:right w:val="none" w:sz="0" w:space="0" w:color="auto"/>
              </w:divBdr>
              <w:divsChild>
                <w:div w:id="1892575737">
                  <w:marLeft w:val="0"/>
                  <w:marRight w:val="150"/>
                  <w:marTop w:val="225"/>
                  <w:marBottom w:val="0"/>
                  <w:divBdr>
                    <w:top w:val="none" w:sz="0" w:space="0" w:color="auto"/>
                    <w:left w:val="none" w:sz="0" w:space="0" w:color="auto"/>
                    <w:bottom w:val="none" w:sz="0" w:space="0" w:color="auto"/>
                    <w:right w:val="none" w:sz="0" w:space="0" w:color="auto"/>
                  </w:divBdr>
                </w:div>
                <w:div w:id="176040827">
                  <w:marLeft w:val="450"/>
                  <w:marRight w:val="450"/>
                  <w:marTop w:val="0"/>
                  <w:marBottom w:val="225"/>
                  <w:divBdr>
                    <w:top w:val="none" w:sz="0" w:space="0" w:color="auto"/>
                    <w:left w:val="none" w:sz="0" w:space="0" w:color="auto"/>
                    <w:bottom w:val="none" w:sz="0" w:space="0" w:color="auto"/>
                    <w:right w:val="none" w:sz="0" w:space="0" w:color="auto"/>
                  </w:divBdr>
                </w:div>
                <w:div w:id="73243261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ocardi.it/codice-civile/libro-secondo/titolo-ii/capo-ii/art583.html" TargetMode="External"/><Relationship Id="rId3" Type="http://schemas.openxmlformats.org/officeDocument/2006/relationships/settings" Target="settings.xml"/><Relationship Id="rId7" Type="http://schemas.openxmlformats.org/officeDocument/2006/relationships/hyperlink" Target="https://www.brocardi.it/codice-civile/libro-secondo/titolo-iii/capo-i/art58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ocardi.it/codice-civile/libro-secondo/titolo-ii/capo-iii/art586.html" TargetMode="External"/><Relationship Id="rId11" Type="http://schemas.openxmlformats.org/officeDocument/2006/relationships/theme" Target="theme/theme1.xml"/><Relationship Id="rId5" Type="http://schemas.openxmlformats.org/officeDocument/2006/relationships/hyperlink" Target="https://www.brocardi.it/dizionario/5735.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rocardi.it/codice-civile/libro-secondo/titolo-iii/capo-i/art587.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2038</Characters>
  <Application>Microsoft Office Word</Application>
  <DocSecurity>0</DocSecurity>
  <Lines>16</Lines>
  <Paragraphs>4</Paragraphs>
  <ScaleCrop>false</ScaleCrop>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D'Amico Dorotea</dc:creator>
  <cp:keywords/>
  <dc:description/>
  <cp:lastModifiedBy>D'Amico Dorotea</cp:lastModifiedBy>
  <cp:revision>2</cp:revision>
  <dcterms:created xsi:type="dcterms:W3CDTF">2021-06-14T17:16:00Z</dcterms:created>
  <dcterms:modified xsi:type="dcterms:W3CDTF">2021-06-14T17:17:00Z</dcterms:modified>
</cp:coreProperties>
</file>